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39F6" w:rsidRDefault="002939F6">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2939F6">
        <w:tc>
          <w:tcPr>
            <w:tcW w:w="4905" w:type="dxa"/>
            <w:tcMar>
              <w:top w:w="40" w:type="dxa"/>
              <w:left w:w="40" w:type="dxa"/>
              <w:bottom w:w="40" w:type="dxa"/>
              <w:right w:w="40" w:type="dxa"/>
            </w:tcMar>
          </w:tcPr>
          <w:p w:rsidR="002939F6" w:rsidRDefault="00865798">
            <w:pPr>
              <w:pStyle w:val="Heading1"/>
              <w:widowControl w:val="0"/>
              <w:spacing w:line="240" w:lineRule="auto"/>
              <w:ind w:left="20"/>
              <w:contextualSpacing w:val="0"/>
            </w:pPr>
            <w:r>
              <w:rPr>
                <w:rFonts w:ascii="Arial" w:eastAsia="Arial" w:hAnsi="Arial" w:cs="Arial"/>
                <w:b/>
                <w:color w:val="1591FE"/>
                <w:sz w:val="48"/>
              </w:rPr>
              <w:t>Press release</w:t>
            </w:r>
          </w:p>
          <w:p w:rsidR="002939F6" w:rsidRDefault="002939F6">
            <w:pPr>
              <w:pStyle w:val="normal0"/>
              <w:widowControl w:val="0"/>
              <w:spacing w:line="240" w:lineRule="auto"/>
            </w:pPr>
          </w:p>
          <w:p w:rsidR="002939F6" w:rsidRDefault="002939F6">
            <w:pPr>
              <w:pStyle w:val="normal0"/>
              <w:widowControl w:val="0"/>
              <w:spacing w:line="240" w:lineRule="auto"/>
            </w:pPr>
          </w:p>
          <w:p w:rsidR="002939F6" w:rsidRDefault="00865798">
            <w:pPr>
              <w:pStyle w:val="normal0"/>
              <w:widowControl w:val="0"/>
              <w:spacing w:line="240" w:lineRule="auto"/>
            </w:pPr>
            <w:r>
              <w:rPr>
                <w:b/>
                <w:sz w:val="28"/>
              </w:rPr>
              <w:t>For immediate release                     May 14, 2015</w:t>
            </w:r>
          </w:p>
        </w:tc>
        <w:tc>
          <w:tcPr>
            <w:tcW w:w="4455" w:type="dxa"/>
            <w:shd w:val="clear" w:color="auto" w:fill="E5E5E5"/>
            <w:tcMar>
              <w:top w:w="288" w:type="dxa"/>
              <w:left w:w="288" w:type="dxa"/>
              <w:bottom w:w="288" w:type="dxa"/>
              <w:right w:w="288" w:type="dxa"/>
            </w:tcMar>
          </w:tcPr>
          <w:p w:rsidR="002939F6" w:rsidRDefault="00865798">
            <w:pPr>
              <w:pStyle w:val="Heading2"/>
              <w:widowControl w:val="0"/>
              <w:spacing w:line="240" w:lineRule="auto"/>
              <w:ind w:left="20"/>
              <w:contextualSpacing w:val="0"/>
              <w:jc w:val="right"/>
            </w:pPr>
            <w:r>
              <w:rPr>
                <w:rFonts w:ascii="Arial" w:eastAsia="Arial" w:hAnsi="Arial" w:cs="Arial"/>
                <w:color w:val="777777"/>
                <w:sz w:val="20"/>
              </w:rPr>
              <w:t>Michelle Hutchison</w:t>
            </w:r>
          </w:p>
          <w:p w:rsidR="002939F6" w:rsidRDefault="00865798">
            <w:pPr>
              <w:pStyle w:val="normal0"/>
              <w:widowControl w:val="0"/>
              <w:ind w:left="20"/>
              <w:jc w:val="right"/>
            </w:pPr>
            <w:r>
              <w:rPr>
                <w:color w:val="777777"/>
                <w:sz w:val="20"/>
              </w:rPr>
              <w:t>Head of PR &amp; Money Expert</w:t>
            </w:r>
          </w:p>
          <w:p w:rsidR="002939F6" w:rsidRDefault="00865798">
            <w:pPr>
              <w:pStyle w:val="normal0"/>
              <w:widowControl w:val="0"/>
              <w:ind w:left="20"/>
              <w:jc w:val="right"/>
            </w:pPr>
            <w:proofErr w:type="gramStart"/>
            <w:r>
              <w:rPr>
                <w:color w:val="777777"/>
                <w:sz w:val="20"/>
              </w:rPr>
              <w:t>finder.com.au</w:t>
            </w:r>
            <w:proofErr w:type="gramEnd"/>
          </w:p>
          <w:p w:rsidR="002939F6" w:rsidRDefault="00865798">
            <w:pPr>
              <w:pStyle w:val="normal0"/>
              <w:widowControl w:val="0"/>
              <w:jc w:val="right"/>
            </w:pPr>
            <w:r>
              <w:rPr>
                <w:color w:val="777777"/>
                <w:sz w:val="20"/>
              </w:rPr>
              <w:t>+61403 192 994</w:t>
            </w:r>
          </w:p>
          <w:p w:rsidR="002939F6" w:rsidRDefault="00865798">
            <w:pPr>
              <w:pStyle w:val="normal0"/>
              <w:widowControl w:val="0"/>
              <w:jc w:val="right"/>
            </w:pPr>
            <w:r>
              <w:rPr>
                <w:color w:val="777777"/>
                <w:sz w:val="20"/>
              </w:rPr>
              <w:t>+61 2 9299 7602</w:t>
            </w:r>
          </w:p>
          <w:p w:rsidR="002939F6" w:rsidRDefault="00865798">
            <w:pPr>
              <w:pStyle w:val="normal0"/>
              <w:widowControl w:val="0"/>
              <w:ind w:left="20"/>
              <w:jc w:val="right"/>
            </w:pPr>
            <w:r>
              <w:rPr>
                <w:color w:val="777777"/>
                <w:sz w:val="20"/>
              </w:rPr>
              <w:t>Michelle@finder.com.au</w:t>
            </w:r>
          </w:p>
        </w:tc>
      </w:tr>
    </w:tbl>
    <w:p w:rsidR="002939F6" w:rsidRDefault="00865798">
      <w:pPr>
        <w:pStyle w:val="normal0"/>
        <w:widowControl w:val="0"/>
        <w:ind w:left="20"/>
      </w:pPr>
      <w:r>
        <w:rPr>
          <w:b/>
          <w:color w:val="1591FE"/>
          <w:sz w:val="48"/>
        </w:rPr>
        <w:t>Australians better at managing credit cards as spending continues to rise</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2939F6">
        <w:tc>
          <w:tcPr>
            <w:tcW w:w="9360" w:type="dxa"/>
            <w:shd w:val="clear" w:color="auto" w:fill="E5E5E5"/>
            <w:tcMar>
              <w:top w:w="288" w:type="dxa"/>
              <w:left w:w="288" w:type="dxa"/>
              <w:bottom w:w="288" w:type="dxa"/>
              <w:right w:w="288" w:type="dxa"/>
            </w:tcMar>
          </w:tcPr>
          <w:p w:rsidR="002939F6" w:rsidRDefault="00865798">
            <w:pPr>
              <w:pStyle w:val="normal0"/>
              <w:widowControl w:val="0"/>
              <w:numPr>
                <w:ilvl w:val="0"/>
                <w:numId w:val="2"/>
              </w:numPr>
              <w:spacing w:line="240" w:lineRule="auto"/>
              <w:ind w:hanging="360"/>
              <w:contextualSpacing/>
              <w:rPr>
                <w:sz w:val="18"/>
              </w:rPr>
            </w:pPr>
            <w:r>
              <w:rPr>
                <w:sz w:val="18"/>
              </w:rPr>
              <w:t>National credit card debt hits new record: over $51.5 BILLION</w:t>
            </w:r>
          </w:p>
          <w:p w:rsidR="002939F6" w:rsidRDefault="00865798">
            <w:pPr>
              <w:pStyle w:val="normal0"/>
              <w:widowControl w:val="0"/>
              <w:numPr>
                <w:ilvl w:val="0"/>
                <w:numId w:val="2"/>
              </w:numPr>
              <w:spacing w:line="240" w:lineRule="auto"/>
              <w:ind w:hanging="360"/>
              <w:contextualSpacing/>
              <w:rPr>
                <w:sz w:val="18"/>
              </w:rPr>
            </w:pPr>
            <w:r>
              <w:rPr>
                <w:sz w:val="18"/>
              </w:rPr>
              <w:t>However, more cardholders are paying down debt, saving $9.7</w:t>
            </w:r>
            <w:r>
              <w:rPr>
                <w:sz w:val="18"/>
              </w:rPr>
              <w:t xml:space="preserve"> million in interest in March 2015</w:t>
            </w:r>
          </w:p>
          <w:p w:rsidR="002939F6" w:rsidRDefault="00865798">
            <w:pPr>
              <w:pStyle w:val="normal0"/>
              <w:widowControl w:val="0"/>
              <w:numPr>
                <w:ilvl w:val="0"/>
                <w:numId w:val="2"/>
              </w:numPr>
              <w:spacing w:line="240" w:lineRule="auto"/>
              <w:ind w:hanging="360"/>
              <w:contextualSpacing/>
              <w:rPr>
                <w:sz w:val="18"/>
              </w:rPr>
            </w:pPr>
            <w:hyperlink r:id="rId8">
              <w:proofErr w:type="gramStart"/>
              <w:r>
                <w:rPr>
                  <w:color w:val="1155CC"/>
                  <w:sz w:val="18"/>
                  <w:u w:val="single"/>
                </w:rPr>
                <w:t>creditcardfinder.com.au</w:t>
              </w:r>
              <w:proofErr w:type="gramEnd"/>
            </w:hyperlink>
            <w:r>
              <w:rPr>
                <w:sz w:val="18"/>
              </w:rPr>
              <w:t xml:space="preserve"> Credit Card Spend Survey shows spending habits improved</w:t>
            </w:r>
          </w:p>
        </w:tc>
      </w:tr>
    </w:tbl>
    <w:p w:rsidR="002939F6" w:rsidRDefault="002939F6">
      <w:pPr>
        <w:pStyle w:val="normal0"/>
        <w:widowControl w:val="0"/>
        <w:spacing w:line="240" w:lineRule="auto"/>
      </w:pPr>
    </w:p>
    <w:p w:rsidR="002939F6" w:rsidRDefault="00865798">
      <w:pPr>
        <w:pStyle w:val="normal0"/>
        <w:widowControl w:val="0"/>
      </w:pPr>
      <w:r>
        <w:rPr>
          <w:b/>
        </w:rPr>
        <w:t xml:space="preserve">May 14, 2015, SYDNEY, AUSTRALIA </w:t>
      </w:r>
      <w:r>
        <w:t xml:space="preserve">– Despite a record high national credit card debt, Australian cardholders are becoming better at managing their cards, </w:t>
      </w:r>
      <w:r>
        <w:t xml:space="preserve">following new research by Australia’s biggest credit card comparison website </w:t>
      </w:r>
      <w:hyperlink r:id="rId9">
        <w:r>
          <w:rPr>
            <w:color w:val="1155CC"/>
            <w:u w:val="single"/>
          </w:rPr>
          <w:t>creditcardfinder.com.au</w:t>
        </w:r>
      </w:hyperlink>
      <w:r>
        <w:rPr>
          <w:vertAlign w:val="superscript"/>
        </w:rPr>
        <w:footnoteReference w:id="1"/>
      </w:r>
      <w:r>
        <w:t>.</w:t>
      </w:r>
    </w:p>
    <w:p w:rsidR="002939F6" w:rsidRDefault="002939F6">
      <w:pPr>
        <w:pStyle w:val="normal0"/>
        <w:widowControl w:val="0"/>
      </w:pPr>
    </w:p>
    <w:p w:rsidR="002939F6" w:rsidRDefault="00865798">
      <w:pPr>
        <w:pStyle w:val="normal0"/>
        <w:widowControl w:val="0"/>
      </w:pPr>
      <w:r>
        <w:t xml:space="preserve">Australians are spending more on their credit cards while paying off their debts, with a combined credit card debt of $51.502 billion as at March 2015 – the highest figure on record, according to the latest Reserve Bank figures released this week (May 12, </w:t>
      </w:r>
      <w:r>
        <w:t xml:space="preserve">2015) analysed by </w:t>
      </w:r>
      <w:hyperlink r:id="rId10">
        <w:r>
          <w:rPr>
            <w:color w:val="1155CC"/>
            <w:u w:val="single"/>
          </w:rPr>
          <w:t>creditcardfinder.com.au</w:t>
        </w:r>
      </w:hyperlink>
      <w:r>
        <w:t xml:space="preserve">. </w:t>
      </w:r>
    </w:p>
    <w:p w:rsidR="002939F6" w:rsidRDefault="002939F6">
      <w:pPr>
        <w:pStyle w:val="normal0"/>
        <w:widowControl w:val="0"/>
      </w:pPr>
    </w:p>
    <w:p w:rsidR="002939F6" w:rsidRDefault="00865798">
      <w:pPr>
        <w:pStyle w:val="normal0"/>
        <w:widowControl w:val="0"/>
      </w:pPr>
      <w:r>
        <w:t>Over the past year, the tot</w:t>
      </w:r>
      <w:r>
        <w:t>al balance increased by $1.445 b</w:t>
      </w:r>
      <w:r>
        <w:t>illion, from $50.057 billion in March 2014. Conversely, the total debt accruing interest fell</w:t>
      </w:r>
      <w:r>
        <w:t xml:space="preserve"> b</w:t>
      </w:r>
      <w:r>
        <w:t>y about $683.300 million, from about $33.719 billion in March 2014.</w:t>
      </w:r>
    </w:p>
    <w:p w:rsidR="002939F6" w:rsidRDefault="002939F6">
      <w:pPr>
        <w:pStyle w:val="normal0"/>
        <w:widowControl w:val="0"/>
      </w:pPr>
    </w:p>
    <w:p w:rsidR="002939F6" w:rsidRDefault="00865798">
      <w:pPr>
        <w:pStyle w:val="normal0"/>
        <w:widowControl w:val="0"/>
      </w:pPr>
      <w:r>
        <w:t>There are also more credit cards in circulation than ever, with 473,098 more cards open now than 12 months ago, currently 15.925 million cards open as at March 2015.</w:t>
      </w:r>
    </w:p>
    <w:p w:rsidR="002939F6" w:rsidRDefault="002939F6">
      <w:pPr>
        <w:pStyle w:val="normal0"/>
        <w:widowControl w:val="0"/>
      </w:pPr>
    </w:p>
    <w:p w:rsidR="002939F6" w:rsidRDefault="002939F6">
      <w:pPr>
        <w:pStyle w:val="normal0"/>
        <w:widowControl w:val="0"/>
      </w:pPr>
    </w:p>
    <w:p w:rsidR="002939F6" w:rsidRDefault="002939F6">
      <w:pPr>
        <w:pStyle w:val="normal0"/>
        <w:widowControl w:val="0"/>
      </w:pPr>
    </w:p>
    <w:p w:rsidR="002939F6" w:rsidRDefault="002939F6">
      <w:pPr>
        <w:pStyle w:val="normal0"/>
        <w:widowControl w:val="0"/>
      </w:pPr>
    </w:p>
    <w:p w:rsidR="002939F6" w:rsidRDefault="002939F6">
      <w:pPr>
        <w:pStyle w:val="normal0"/>
        <w:widowControl w:val="0"/>
      </w:pPr>
    </w:p>
    <w:p w:rsidR="002939F6" w:rsidRDefault="002939F6">
      <w:pPr>
        <w:pStyle w:val="normal0"/>
        <w:widowControl w:val="0"/>
      </w:pPr>
    </w:p>
    <w:p w:rsidR="002939F6" w:rsidRDefault="00865798">
      <w:pPr>
        <w:pStyle w:val="normal0"/>
        <w:widowControl w:val="0"/>
      </w:pPr>
      <w:r>
        <w:rPr>
          <w:b/>
        </w:rPr>
        <w:lastRenderedPageBreak/>
        <w:t>Total credit card debt versus</w:t>
      </w:r>
      <w:r>
        <w:rPr>
          <w:b/>
        </w:rPr>
        <w:t xml:space="preserve"> total debt accruing interest</w:t>
      </w:r>
    </w:p>
    <w:tbl>
      <w:tblPr>
        <w:tblStyle w:val="a1"/>
        <w:tblW w:w="9255" w:type="dxa"/>
        <w:tblLayout w:type="fixed"/>
        <w:tblLook w:val="0600" w:firstRow="0" w:lastRow="0" w:firstColumn="0" w:lastColumn="0" w:noHBand="1" w:noVBand="1"/>
      </w:tblPr>
      <w:tblGrid>
        <w:gridCol w:w="3510"/>
        <w:gridCol w:w="2145"/>
        <w:gridCol w:w="2490"/>
        <w:gridCol w:w="1110"/>
      </w:tblGrid>
      <w:tr w:rsidR="002939F6">
        <w:trPr>
          <w:trHeight w:val="480"/>
        </w:trPr>
        <w:tc>
          <w:tcPr>
            <w:tcW w:w="3510" w:type="dxa"/>
            <w:shd w:val="clear" w:color="auto" w:fill="18304B"/>
            <w:tcMar>
              <w:top w:w="100" w:type="dxa"/>
              <w:left w:w="100" w:type="dxa"/>
              <w:bottom w:w="100" w:type="dxa"/>
              <w:right w:w="100" w:type="dxa"/>
            </w:tcMar>
          </w:tcPr>
          <w:p w:rsidR="002939F6" w:rsidRDefault="00865798">
            <w:pPr>
              <w:pStyle w:val="normal0"/>
              <w:widowControl w:val="0"/>
              <w:spacing w:line="240" w:lineRule="auto"/>
            </w:pPr>
            <w:r>
              <w:rPr>
                <w:b/>
                <w:color w:val="FFFFFF"/>
                <w:sz w:val="18"/>
              </w:rPr>
              <w:t>Date</w:t>
            </w:r>
          </w:p>
        </w:tc>
        <w:tc>
          <w:tcPr>
            <w:tcW w:w="2145" w:type="dxa"/>
            <w:shd w:val="clear" w:color="auto" w:fill="18304B"/>
            <w:tcMar>
              <w:top w:w="100" w:type="dxa"/>
              <w:left w:w="100" w:type="dxa"/>
              <w:bottom w:w="100" w:type="dxa"/>
              <w:right w:w="100" w:type="dxa"/>
            </w:tcMar>
          </w:tcPr>
          <w:p w:rsidR="002939F6" w:rsidRDefault="00865798">
            <w:pPr>
              <w:pStyle w:val="normal0"/>
              <w:widowControl w:val="0"/>
              <w:spacing w:line="240" w:lineRule="auto"/>
            </w:pPr>
            <w:r>
              <w:rPr>
                <w:b/>
                <w:color w:val="FFFFFF"/>
                <w:sz w:val="18"/>
              </w:rPr>
              <w:t>Total credit card debt (billions)</w:t>
            </w:r>
          </w:p>
        </w:tc>
        <w:tc>
          <w:tcPr>
            <w:tcW w:w="2490" w:type="dxa"/>
            <w:shd w:val="clear" w:color="auto" w:fill="18304B"/>
            <w:tcMar>
              <w:top w:w="100" w:type="dxa"/>
              <w:left w:w="100" w:type="dxa"/>
              <w:bottom w:w="100" w:type="dxa"/>
              <w:right w:w="100" w:type="dxa"/>
            </w:tcMar>
          </w:tcPr>
          <w:p w:rsidR="002939F6" w:rsidRDefault="00865798">
            <w:pPr>
              <w:pStyle w:val="normal0"/>
              <w:widowControl w:val="0"/>
              <w:spacing w:line="240" w:lineRule="auto"/>
            </w:pPr>
            <w:r>
              <w:rPr>
                <w:b/>
                <w:color w:val="FFFFFF"/>
                <w:sz w:val="18"/>
              </w:rPr>
              <w:t>Total debt accruing interest (billions)</w:t>
            </w:r>
          </w:p>
        </w:tc>
        <w:tc>
          <w:tcPr>
            <w:tcW w:w="1110" w:type="dxa"/>
            <w:shd w:val="clear" w:color="auto" w:fill="18304B"/>
            <w:tcMar>
              <w:top w:w="56" w:type="dxa"/>
              <w:left w:w="56" w:type="dxa"/>
              <w:bottom w:w="56" w:type="dxa"/>
              <w:right w:w="56" w:type="dxa"/>
            </w:tcMar>
          </w:tcPr>
          <w:p w:rsidR="002939F6" w:rsidRDefault="00865798">
            <w:pPr>
              <w:pStyle w:val="normal0"/>
              <w:widowControl w:val="0"/>
              <w:spacing w:line="240" w:lineRule="auto"/>
              <w:jc w:val="right"/>
            </w:pPr>
            <w:r>
              <w:rPr>
                <w:noProof/>
                <w:lang w:val="en-US"/>
              </w:rPr>
              <w:drawing>
                <wp:inline distT="114300" distB="114300" distL="114300" distR="114300">
                  <wp:extent cx="606136" cy="1905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606136" cy="190500"/>
                          </a:xfrm>
                          <a:prstGeom prst="rect">
                            <a:avLst/>
                          </a:prstGeom>
                          <a:ln/>
                        </pic:spPr>
                      </pic:pic>
                    </a:graphicData>
                  </a:graphic>
                </wp:inline>
              </w:drawing>
            </w:r>
          </w:p>
        </w:tc>
      </w:tr>
      <w:tr w:rsidR="002939F6">
        <w:tc>
          <w:tcPr>
            <w:tcW w:w="3510" w:type="dxa"/>
            <w:shd w:val="clear" w:color="auto" w:fill="E5E5E5"/>
            <w:tcMar>
              <w:top w:w="100" w:type="dxa"/>
              <w:left w:w="100" w:type="dxa"/>
              <w:bottom w:w="100" w:type="dxa"/>
              <w:right w:w="100" w:type="dxa"/>
            </w:tcMar>
          </w:tcPr>
          <w:p w:rsidR="002939F6" w:rsidRDefault="00865798">
            <w:pPr>
              <w:pStyle w:val="normal0"/>
              <w:widowControl w:val="0"/>
              <w:spacing w:line="240" w:lineRule="auto"/>
            </w:pPr>
            <w:r>
              <w:rPr>
                <w:sz w:val="18"/>
              </w:rPr>
              <w:t>March 2015</w:t>
            </w:r>
          </w:p>
        </w:tc>
        <w:tc>
          <w:tcPr>
            <w:tcW w:w="2145" w:type="dxa"/>
            <w:shd w:val="clear" w:color="auto" w:fill="E5E5E5"/>
            <w:tcMar>
              <w:top w:w="100" w:type="dxa"/>
              <w:left w:w="100" w:type="dxa"/>
              <w:bottom w:w="100" w:type="dxa"/>
              <w:right w:w="100" w:type="dxa"/>
            </w:tcMar>
          </w:tcPr>
          <w:p w:rsidR="002939F6" w:rsidRDefault="00865798">
            <w:pPr>
              <w:pStyle w:val="normal0"/>
              <w:widowControl w:val="0"/>
              <w:spacing w:line="240" w:lineRule="auto"/>
            </w:pPr>
            <w:r>
              <w:rPr>
                <w:sz w:val="18"/>
              </w:rPr>
              <w:t>$51.502</w:t>
            </w:r>
          </w:p>
        </w:tc>
        <w:tc>
          <w:tcPr>
            <w:tcW w:w="2490" w:type="dxa"/>
            <w:shd w:val="clear" w:color="auto" w:fill="E5E5E5"/>
            <w:tcMar>
              <w:top w:w="100" w:type="dxa"/>
              <w:left w:w="100" w:type="dxa"/>
              <w:bottom w:w="100" w:type="dxa"/>
              <w:right w:w="100" w:type="dxa"/>
            </w:tcMar>
          </w:tcPr>
          <w:p w:rsidR="002939F6" w:rsidRDefault="00865798">
            <w:pPr>
              <w:pStyle w:val="normal0"/>
              <w:widowControl w:val="0"/>
              <w:spacing w:line="240" w:lineRule="auto"/>
            </w:pPr>
            <w:r>
              <w:rPr>
                <w:sz w:val="18"/>
              </w:rPr>
              <w:t>$33.036</w:t>
            </w:r>
          </w:p>
        </w:tc>
        <w:tc>
          <w:tcPr>
            <w:tcW w:w="1110" w:type="dxa"/>
            <w:shd w:val="clear" w:color="auto" w:fill="E5E5E5"/>
            <w:tcMar>
              <w:top w:w="100" w:type="dxa"/>
              <w:left w:w="100" w:type="dxa"/>
              <w:bottom w:w="100" w:type="dxa"/>
              <w:right w:w="100" w:type="dxa"/>
            </w:tcMar>
          </w:tcPr>
          <w:p w:rsidR="002939F6" w:rsidRDefault="002939F6">
            <w:pPr>
              <w:pStyle w:val="normal0"/>
              <w:widowControl w:val="0"/>
              <w:spacing w:line="240" w:lineRule="auto"/>
            </w:pPr>
          </w:p>
        </w:tc>
      </w:tr>
      <w:tr w:rsidR="002939F6">
        <w:tc>
          <w:tcPr>
            <w:tcW w:w="3510" w:type="dxa"/>
            <w:shd w:val="clear" w:color="auto" w:fill="D8D8D8"/>
            <w:tcMar>
              <w:top w:w="100" w:type="dxa"/>
              <w:left w:w="100" w:type="dxa"/>
              <w:bottom w:w="100" w:type="dxa"/>
              <w:right w:w="100" w:type="dxa"/>
            </w:tcMar>
          </w:tcPr>
          <w:p w:rsidR="002939F6" w:rsidRDefault="00865798">
            <w:pPr>
              <w:pStyle w:val="normal0"/>
              <w:widowControl w:val="0"/>
              <w:spacing w:line="240" w:lineRule="auto"/>
            </w:pPr>
            <w:r>
              <w:rPr>
                <w:sz w:val="18"/>
              </w:rPr>
              <w:t>March 2014</w:t>
            </w:r>
          </w:p>
        </w:tc>
        <w:tc>
          <w:tcPr>
            <w:tcW w:w="2145" w:type="dxa"/>
            <w:shd w:val="clear" w:color="auto" w:fill="D8D8D8"/>
            <w:tcMar>
              <w:top w:w="100" w:type="dxa"/>
              <w:left w:w="100" w:type="dxa"/>
              <w:bottom w:w="100" w:type="dxa"/>
              <w:right w:w="100" w:type="dxa"/>
            </w:tcMar>
          </w:tcPr>
          <w:p w:rsidR="002939F6" w:rsidRDefault="00865798">
            <w:pPr>
              <w:pStyle w:val="normal0"/>
              <w:widowControl w:val="0"/>
              <w:spacing w:line="240" w:lineRule="auto"/>
            </w:pPr>
            <w:r>
              <w:rPr>
                <w:sz w:val="18"/>
              </w:rPr>
              <w:t>$50.057</w:t>
            </w:r>
          </w:p>
        </w:tc>
        <w:tc>
          <w:tcPr>
            <w:tcW w:w="2490" w:type="dxa"/>
            <w:shd w:val="clear" w:color="auto" w:fill="D8D8D8"/>
            <w:tcMar>
              <w:top w:w="100" w:type="dxa"/>
              <w:left w:w="100" w:type="dxa"/>
              <w:bottom w:w="100" w:type="dxa"/>
              <w:right w:w="100" w:type="dxa"/>
            </w:tcMar>
          </w:tcPr>
          <w:p w:rsidR="002939F6" w:rsidRDefault="00865798">
            <w:pPr>
              <w:pStyle w:val="normal0"/>
              <w:widowControl w:val="0"/>
              <w:spacing w:line="240" w:lineRule="auto"/>
            </w:pPr>
            <w:r>
              <w:rPr>
                <w:sz w:val="18"/>
              </w:rPr>
              <w:t>$33.719</w:t>
            </w:r>
          </w:p>
        </w:tc>
        <w:tc>
          <w:tcPr>
            <w:tcW w:w="1110" w:type="dxa"/>
            <w:shd w:val="clear" w:color="auto" w:fill="D8D8D8"/>
            <w:tcMar>
              <w:top w:w="100" w:type="dxa"/>
              <w:left w:w="100" w:type="dxa"/>
              <w:bottom w:w="100" w:type="dxa"/>
              <w:right w:w="100" w:type="dxa"/>
            </w:tcMar>
          </w:tcPr>
          <w:p w:rsidR="002939F6" w:rsidRDefault="002939F6">
            <w:pPr>
              <w:pStyle w:val="normal0"/>
              <w:widowControl w:val="0"/>
              <w:spacing w:line="240" w:lineRule="auto"/>
            </w:pPr>
          </w:p>
        </w:tc>
      </w:tr>
      <w:tr w:rsidR="002939F6">
        <w:tc>
          <w:tcPr>
            <w:tcW w:w="3510" w:type="dxa"/>
            <w:shd w:val="clear" w:color="auto" w:fill="E5E5E5"/>
            <w:tcMar>
              <w:top w:w="100" w:type="dxa"/>
              <w:left w:w="100" w:type="dxa"/>
              <w:bottom w:w="100" w:type="dxa"/>
              <w:right w:w="100" w:type="dxa"/>
            </w:tcMar>
          </w:tcPr>
          <w:p w:rsidR="002939F6" w:rsidRDefault="00865798">
            <w:pPr>
              <w:pStyle w:val="normal0"/>
              <w:widowControl w:val="0"/>
              <w:spacing w:line="240" w:lineRule="auto"/>
            </w:pPr>
            <w:r>
              <w:rPr>
                <w:sz w:val="18"/>
              </w:rPr>
              <w:t>Difference</w:t>
            </w:r>
          </w:p>
        </w:tc>
        <w:tc>
          <w:tcPr>
            <w:tcW w:w="2145" w:type="dxa"/>
            <w:shd w:val="clear" w:color="auto" w:fill="E5E5E5"/>
            <w:tcMar>
              <w:top w:w="100" w:type="dxa"/>
              <w:left w:w="100" w:type="dxa"/>
              <w:bottom w:w="100" w:type="dxa"/>
              <w:right w:w="100" w:type="dxa"/>
            </w:tcMar>
          </w:tcPr>
          <w:p w:rsidR="002939F6" w:rsidRPr="00865798" w:rsidRDefault="00865798">
            <w:pPr>
              <w:pStyle w:val="normal0"/>
              <w:widowControl w:val="0"/>
              <w:spacing w:line="240" w:lineRule="auto"/>
              <w:rPr>
                <w:color w:val="FF0000"/>
              </w:rPr>
            </w:pPr>
            <w:r w:rsidRPr="00865798">
              <w:rPr>
                <w:color w:val="FF0000"/>
                <w:sz w:val="18"/>
              </w:rPr>
              <w:t>+$1.445</w:t>
            </w:r>
          </w:p>
        </w:tc>
        <w:tc>
          <w:tcPr>
            <w:tcW w:w="2490" w:type="dxa"/>
            <w:shd w:val="clear" w:color="auto" w:fill="E5E5E5"/>
            <w:tcMar>
              <w:top w:w="100" w:type="dxa"/>
              <w:left w:w="100" w:type="dxa"/>
              <w:bottom w:w="100" w:type="dxa"/>
              <w:right w:w="100" w:type="dxa"/>
            </w:tcMar>
          </w:tcPr>
          <w:p w:rsidR="002939F6" w:rsidRPr="00865798" w:rsidRDefault="00865798">
            <w:pPr>
              <w:pStyle w:val="normal0"/>
              <w:widowControl w:val="0"/>
              <w:spacing w:line="240" w:lineRule="auto"/>
              <w:rPr>
                <w:color w:val="008000"/>
              </w:rPr>
            </w:pPr>
            <w:r w:rsidRPr="00865798">
              <w:rPr>
                <w:color w:val="008000"/>
                <w:sz w:val="18"/>
              </w:rPr>
              <w:t>-$0.683</w:t>
            </w:r>
          </w:p>
        </w:tc>
        <w:tc>
          <w:tcPr>
            <w:tcW w:w="1110" w:type="dxa"/>
            <w:shd w:val="clear" w:color="auto" w:fill="E5E5E5"/>
            <w:tcMar>
              <w:top w:w="100" w:type="dxa"/>
              <w:left w:w="100" w:type="dxa"/>
              <w:bottom w:w="100" w:type="dxa"/>
              <w:right w:w="100" w:type="dxa"/>
            </w:tcMar>
          </w:tcPr>
          <w:p w:rsidR="002939F6" w:rsidRDefault="002939F6">
            <w:pPr>
              <w:pStyle w:val="normal0"/>
              <w:widowControl w:val="0"/>
              <w:spacing w:line="240" w:lineRule="auto"/>
            </w:pPr>
          </w:p>
        </w:tc>
      </w:tr>
    </w:tbl>
    <w:p w:rsidR="002939F6" w:rsidRDefault="00865798">
      <w:pPr>
        <w:pStyle w:val="normal0"/>
        <w:widowControl w:val="0"/>
      </w:pPr>
      <w:r>
        <w:rPr>
          <w:sz w:val="18"/>
        </w:rPr>
        <w:t xml:space="preserve">Source: </w:t>
      </w:r>
      <w:hyperlink r:id="rId12">
        <w:r>
          <w:rPr>
            <w:color w:val="1155CC"/>
            <w:sz w:val="18"/>
            <w:u w:val="single"/>
          </w:rPr>
          <w:t>creditcardfinder.com.au</w:t>
        </w:r>
      </w:hyperlink>
      <w:r>
        <w:rPr>
          <w:sz w:val="18"/>
        </w:rPr>
        <w:t>, Reserve Bank of Australia</w:t>
      </w:r>
    </w:p>
    <w:p w:rsidR="002939F6" w:rsidRDefault="002939F6">
      <w:pPr>
        <w:pStyle w:val="normal0"/>
        <w:widowControl w:val="0"/>
      </w:pPr>
    </w:p>
    <w:p w:rsidR="002939F6" w:rsidRDefault="00865798">
      <w:pPr>
        <w:pStyle w:val="normal0"/>
        <w:widowControl w:val="0"/>
      </w:pPr>
      <w:r>
        <w:t>Total average debt per card is now $3,234, with the average balance accruing interest at $2,074.</w:t>
      </w:r>
    </w:p>
    <w:p w:rsidR="002939F6" w:rsidRDefault="002939F6">
      <w:pPr>
        <w:pStyle w:val="normal0"/>
        <w:widowControl w:val="0"/>
      </w:pPr>
    </w:p>
    <w:p w:rsidR="002939F6" w:rsidRDefault="00865798">
      <w:pPr>
        <w:pStyle w:val="normal0"/>
        <w:widowControl w:val="0"/>
      </w:pPr>
      <w:r>
        <w:t xml:space="preserve">The research follows </w:t>
      </w:r>
      <w:hyperlink r:id="rId13">
        <w:proofErr w:type="spellStart"/>
        <w:r>
          <w:rPr>
            <w:color w:val="1155CC"/>
            <w:u w:val="single"/>
          </w:rPr>
          <w:t>creditcardfinder.com.au</w:t>
        </w:r>
      </w:hyperlink>
      <w:r>
        <w:t>’s</w:t>
      </w:r>
      <w:proofErr w:type="spellEnd"/>
      <w:r>
        <w:t xml:space="preserve"> annual Credit Card Spend Survey</w:t>
      </w:r>
      <w:r>
        <w:rPr>
          <w:vertAlign w:val="superscript"/>
        </w:rPr>
        <w:footnoteReference w:id="2"/>
      </w:r>
      <w:r>
        <w:t xml:space="preserve"> of more than 1,200 Australian credit card holders, which also found that cardholders</w:t>
      </w:r>
      <w:r>
        <w:t xml:space="preserve"> have improved their spending habits. </w:t>
      </w:r>
    </w:p>
    <w:p w:rsidR="002939F6" w:rsidRDefault="002939F6">
      <w:pPr>
        <w:pStyle w:val="normal0"/>
        <w:widowControl w:val="0"/>
      </w:pPr>
    </w:p>
    <w:p w:rsidR="002939F6" w:rsidRDefault="00865798">
      <w:pPr>
        <w:pStyle w:val="normal0"/>
        <w:widowControl w:val="0"/>
      </w:pPr>
      <w:r>
        <w:t xml:space="preserve">In fact, the number of cardholders who spend more than $2,000 per month on their credit card has risen to 24 </w:t>
      </w:r>
      <w:proofErr w:type="spellStart"/>
      <w:r>
        <w:t>percent</w:t>
      </w:r>
      <w:proofErr w:type="spellEnd"/>
      <w:r>
        <w:t xml:space="preserve">, up from 22 </w:t>
      </w:r>
      <w:proofErr w:type="spellStart"/>
      <w:r>
        <w:t>percent</w:t>
      </w:r>
      <w:proofErr w:type="spellEnd"/>
      <w:r>
        <w:t xml:space="preserve"> last year.</w:t>
      </w:r>
    </w:p>
    <w:p w:rsidR="002939F6" w:rsidRDefault="002939F6">
      <w:pPr>
        <w:pStyle w:val="normal0"/>
        <w:widowControl w:val="0"/>
      </w:pPr>
    </w:p>
    <w:p w:rsidR="002939F6" w:rsidRDefault="00865798">
      <w:pPr>
        <w:pStyle w:val="normal0"/>
        <w:widowControl w:val="0"/>
      </w:pPr>
      <w:r>
        <w:t xml:space="preserve">However, more people are paying down their debts, with almost 78 </w:t>
      </w:r>
      <w:proofErr w:type="spellStart"/>
      <w:r>
        <w:t>percent</w:t>
      </w:r>
      <w:proofErr w:type="spellEnd"/>
      <w:r>
        <w:t xml:space="preserve"> of credit card holders saying they</w:t>
      </w:r>
      <w:r>
        <w:t xml:space="preserve"> generally pay off their balance in full each month compared to 76 </w:t>
      </w:r>
      <w:proofErr w:type="spellStart"/>
      <w:r>
        <w:t>percent</w:t>
      </w:r>
      <w:proofErr w:type="spellEnd"/>
      <w:r>
        <w:t xml:space="preserve"> a year ago. This means potentially 3.5 million credit cards are not paid off in full each month compared with almost four million cards last year.</w:t>
      </w:r>
    </w:p>
    <w:p w:rsidR="002939F6" w:rsidRDefault="002939F6">
      <w:pPr>
        <w:pStyle w:val="normal0"/>
        <w:widowControl w:val="0"/>
      </w:pPr>
    </w:p>
    <w:p w:rsidR="002939F6" w:rsidRDefault="00865798">
      <w:pPr>
        <w:pStyle w:val="normal0"/>
        <w:widowControl w:val="0"/>
      </w:pPr>
      <w:r>
        <w:t xml:space="preserve">The </w:t>
      </w:r>
      <w:hyperlink r:id="rId14">
        <w:r>
          <w:rPr>
            <w:color w:val="1155CC"/>
            <w:u w:val="single"/>
          </w:rPr>
          <w:t>creditcardfinder.com.au</w:t>
        </w:r>
      </w:hyperlink>
      <w:r>
        <w:t xml:space="preserve"> Credit Card Spend Survey also found that the number of people who make more than 10 unplanned purchases per month dropped slightly from 10.19 </w:t>
      </w:r>
      <w:proofErr w:type="spellStart"/>
      <w:r>
        <w:t>percent</w:t>
      </w:r>
      <w:proofErr w:type="spellEnd"/>
      <w:r>
        <w:t xml:space="preserve"> in 2014 to 9.88 </w:t>
      </w:r>
      <w:proofErr w:type="spellStart"/>
      <w:r>
        <w:t>percent</w:t>
      </w:r>
      <w:proofErr w:type="spellEnd"/>
      <w:r>
        <w:t xml:space="preserve"> in 2015.</w:t>
      </w:r>
    </w:p>
    <w:p w:rsidR="002939F6" w:rsidRDefault="002939F6">
      <w:pPr>
        <w:pStyle w:val="normal0"/>
        <w:widowControl w:val="0"/>
      </w:pPr>
    </w:p>
    <w:p w:rsidR="002939F6" w:rsidRDefault="00865798">
      <w:pPr>
        <w:pStyle w:val="normal0"/>
        <w:widowControl w:val="0"/>
        <w:ind w:left="20"/>
      </w:pPr>
      <w:r>
        <w:t xml:space="preserve">Michelle Hutchison, Money </w:t>
      </w:r>
      <w:r>
        <w:t xml:space="preserve">Expert at </w:t>
      </w:r>
      <w:hyperlink r:id="rId15">
        <w:r>
          <w:rPr>
            <w:color w:val="1155CC"/>
            <w:u w:val="single"/>
          </w:rPr>
          <w:t>creditcardfinder.com.au</w:t>
        </w:r>
      </w:hyperlink>
      <w:r>
        <w:rPr>
          <w:color w:val="1155CD"/>
        </w:rPr>
        <w:t xml:space="preserve"> </w:t>
      </w:r>
      <w:r>
        <w:t>said the improvement comes despite the fact that people are spending more on their credit cards each month.</w:t>
      </w:r>
    </w:p>
    <w:p w:rsidR="002939F6" w:rsidRDefault="002939F6">
      <w:pPr>
        <w:pStyle w:val="normal0"/>
        <w:widowControl w:val="0"/>
        <w:ind w:left="20"/>
      </w:pPr>
    </w:p>
    <w:p w:rsidR="002939F6" w:rsidRDefault="00865798">
      <w:pPr>
        <w:pStyle w:val="normal0"/>
        <w:widowControl w:val="0"/>
        <w:ind w:left="20"/>
      </w:pPr>
      <w:r>
        <w:t>“It’s great to see that more people are taking advantage of cr</w:t>
      </w:r>
      <w:r>
        <w:t xml:space="preserve">edit cards while paying less interest than last year. Credit cards can be very handy when it comes to cash flow and if used </w:t>
      </w:r>
      <w:proofErr w:type="gramStart"/>
      <w:r>
        <w:t>properly</w:t>
      </w:r>
      <w:proofErr w:type="gramEnd"/>
      <w:r>
        <w:t>, they can also be very rewarding with points and other perks like concierge services and complimentary travel insurance.</w:t>
      </w:r>
    </w:p>
    <w:p w:rsidR="00865798" w:rsidRDefault="00865798" w:rsidP="00865798">
      <w:pPr>
        <w:pStyle w:val="normal0"/>
        <w:widowControl w:val="0"/>
      </w:pPr>
    </w:p>
    <w:p w:rsidR="002939F6" w:rsidRDefault="00865798">
      <w:pPr>
        <w:pStyle w:val="normal0"/>
        <w:widowControl w:val="0"/>
        <w:ind w:left="20"/>
      </w:pPr>
      <w:r>
        <w:t>“</w:t>
      </w:r>
      <w:r>
        <w:t>On average, credit card debt accruing interest has fallen by $108 per card since March 2014, to $2,074 but we’re spending $109 more per month with 7</w:t>
      </w:r>
      <w:r>
        <w:t xml:space="preserve"> </w:t>
      </w:r>
      <w:proofErr w:type="spellStart"/>
      <w:r>
        <w:t>percent</w:t>
      </w:r>
      <w:proofErr w:type="spellEnd"/>
      <w:r>
        <w:t xml:space="preserve"> more transactions. So we’re using our cards more and paying more off each month than we used to.</w:t>
      </w:r>
    </w:p>
    <w:p w:rsidR="002939F6" w:rsidRDefault="002939F6">
      <w:pPr>
        <w:pStyle w:val="normal0"/>
        <w:widowControl w:val="0"/>
        <w:ind w:left="20"/>
      </w:pPr>
    </w:p>
    <w:p w:rsidR="002939F6" w:rsidRDefault="00865798">
      <w:pPr>
        <w:pStyle w:val="normal0"/>
        <w:widowControl w:val="0"/>
        <w:ind w:left="20"/>
      </w:pPr>
      <w:r>
        <w:t>“We’ve collectively saved almost</w:t>
      </w:r>
      <w:r>
        <w:t xml:space="preserve"> $9.7</w:t>
      </w:r>
      <w:r>
        <w:t xml:space="preserve"> million in interest charges in March 2015 compared to the same month last year by paying down our credit card debt.</w:t>
      </w:r>
    </w:p>
    <w:p w:rsidR="002939F6" w:rsidRDefault="002939F6">
      <w:pPr>
        <w:pStyle w:val="normal0"/>
        <w:widowControl w:val="0"/>
        <w:ind w:left="20"/>
      </w:pPr>
    </w:p>
    <w:p w:rsidR="002939F6" w:rsidRDefault="00865798">
      <w:pPr>
        <w:pStyle w:val="normal0"/>
        <w:widowControl w:val="0"/>
        <w:ind w:left="20"/>
      </w:pPr>
      <w:r>
        <w:t xml:space="preserve">“However, the vast majority of cardholders (87 </w:t>
      </w:r>
      <w:proofErr w:type="spellStart"/>
      <w:r>
        <w:t>percent</w:t>
      </w:r>
      <w:proofErr w:type="spellEnd"/>
      <w:r>
        <w:t>) still make at least one unplanned purchase every m</w:t>
      </w:r>
      <w:r>
        <w:t>onth and half are spent on going out or shopping sprees.</w:t>
      </w:r>
    </w:p>
    <w:p w:rsidR="002939F6" w:rsidRDefault="002939F6">
      <w:pPr>
        <w:pStyle w:val="normal0"/>
        <w:widowControl w:val="0"/>
        <w:ind w:left="20"/>
      </w:pPr>
    </w:p>
    <w:p w:rsidR="002939F6" w:rsidRDefault="00865798">
      <w:pPr>
        <w:pStyle w:val="normal0"/>
        <w:widowControl w:val="0"/>
        <w:ind w:left="20"/>
      </w:pPr>
      <w:r>
        <w:t xml:space="preserve">“And there is still a lot of money being wasted on interest charges, with an estimated $468 million spent on interest in March 2015 alone according to </w:t>
      </w:r>
      <w:hyperlink r:id="rId16">
        <w:r>
          <w:rPr>
            <w:color w:val="1155CC"/>
            <w:u w:val="single"/>
          </w:rPr>
          <w:t>creditcardfinder.com.au</w:t>
        </w:r>
      </w:hyperlink>
      <w:r>
        <w:t>. Most cardholders shouldn’t be paying any interest and should look for balance transfer deals to pay off their debts while minimising interest charges.”</w:t>
      </w:r>
    </w:p>
    <w:p w:rsidR="002939F6" w:rsidRDefault="002939F6">
      <w:pPr>
        <w:pStyle w:val="normal0"/>
        <w:widowControl w:val="0"/>
      </w:pPr>
    </w:p>
    <w:p w:rsidR="002939F6" w:rsidRDefault="00865798">
      <w:pPr>
        <w:pStyle w:val="normal0"/>
        <w:widowControl w:val="0"/>
        <w:ind w:left="20"/>
      </w:pPr>
      <w:r>
        <w:t xml:space="preserve">Rewards points programs are still the biggest incentive for people to use their credit cards over debit or cash, with 37 </w:t>
      </w:r>
      <w:proofErr w:type="spellStart"/>
      <w:r>
        <w:t>percent</w:t>
      </w:r>
      <w:proofErr w:type="spellEnd"/>
      <w:r>
        <w:t xml:space="preserve"> of respondents who said they use their cards for rewards points 12 months ago compared to 41 </w:t>
      </w:r>
      <w:proofErr w:type="spellStart"/>
      <w:r>
        <w:t>percent</w:t>
      </w:r>
      <w:proofErr w:type="spellEnd"/>
      <w:r>
        <w:t xml:space="preserve"> now.</w:t>
      </w:r>
    </w:p>
    <w:p w:rsidR="002939F6" w:rsidRDefault="002939F6">
      <w:pPr>
        <w:pStyle w:val="normal0"/>
        <w:widowControl w:val="0"/>
      </w:pPr>
    </w:p>
    <w:p w:rsidR="002939F6" w:rsidRDefault="00865798">
      <w:pPr>
        <w:pStyle w:val="normal0"/>
        <w:widowControl w:val="0"/>
        <w:ind w:left="20"/>
      </w:pPr>
      <w:r>
        <w:rPr>
          <w:b/>
        </w:rPr>
        <w:t>Other interesting fi</w:t>
      </w:r>
      <w:r>
        <w:rPr>
          <w:b/>
        </w:rPr>
        <w:t>ndings from the creditcardfinder.com.au Credit Card Spend Survey:</w:t>
      </w:r>
    </w:p>
    <w:p w:rsidR="002939F6" w:rsidRDefault="00865798">
      <w:pPr>
        <w:pStyle w:val="normal0"/>
        <w:widowControl w:val="0"/>
        <w:numPr>
          <w:ilvl w:val="0"/>
          <w:numId w:val="1"/>
        </w:numPr>
        <w:spacing w:line="331" w:lineRule="auto"/>
        <w:ind w:hanging="360"/>
        <w:contextualSpacing/>
      </w:pPr>
      <w:r>
        <w:t>Out of those who don’t pay off their credit cards in full each month, almost 15% go on impulsive shopping sprees</w:t>
      </w:r>
    </w:p>
    <w:p w:rsidR="002939F6" w:rsidRDefault="00865798">
      <w:pPr>
        <w:pStyle w:val="normal0"/>
        <w:widowControl w:val="0"/>
        <w:numPr>
          <w:ilvl w:val="0"/>
          <w:numId w:val="1"/>
        </w:numPr>
        <w:spacing w:line="331" w:lineRule="auto"/>
        <w:ind w:hanging="360"/>
        <w:contextualSpacing/>
      </w:pPr>
      <w:r>
        <w:t>About half of credit card holders (49%) make 1-3 unplanned credit card purcha</w:t>
      </w:r>
      <w:r>
        <w:t>ses every month.</w:t>
      </w:r>
    </w:p>
    <w:p w:rsidR="002939F6" w:rsidRDefault="00865798">
      <w:pPr>
        <w:pStyle w:val="normal0"/>
        <w:widowControl w:val="0"/>
        <w:numPr>
          <w:ilvl w:val="0"/>
          <w:numId w:val="1"/>
        </w:numPr>
        <w:spacing w:line="331" w:lineRule="auto"/>
        <w:ind w:hanging="360"/>
        <w:contextualSpacing/>
      </w:pPr>
      <w:r>
        <w:t>Of those unplanned credit card purchases, almost half were on splurges like shopping sprees and going out/entertainment</w:t>
      </w:r>
    </w:p>
    <w:p w:rsidR="002939F6" w:rsidRDefault="00865798">
      <w:pPr>
        <w:pStyle w:val="normal0"/>
        <w:widowControl w:val="0"/>
        <w:numPr>
          <w:ilvl w:val="0"/>
          <w:numId w:val="1"/>
        </w:numPr>
        <w:spacing w:line="331" w:lineRule="auto"/>
        <w:ind w:hanging="360"/>
        <w:contextualSpacing/>
      </w:pPr>
      <w:r>
        <w:t>Out of those who spend more than $5,000 per month on their cards, more than a third (37%) make more than 10 unplanned p</w:t>
      </w:r>
      <w:r>
        <w:t>urchases every month</w:t>
      </w:r>
    </w:p>
    <w:p w:rsidR="002939F6" w:rsidRDefault="00865798">
      <w:pPr>
        <w:pStyle w:val="normal0"/>
        <w:widowControl w:val="0"/>
        <w:numPr>
          <w:ilvl w:val="0"/>
          <w:numId w:val="1"/>
        </w:numPr>
        <w:spacing w:line="331" w:lineRule="auto"/>
        <w:ind w:hanging="360"/>
        <w:contextualSpacing/>
      </w:pPr>
      <w:r>
        <w:t>Over 1 in 5 cardholders (21%) put unexpected bills on plastic, followed by emergency expenses (19%)</w:t>
      </w:r>
    </w:p>
    <w:p w:rsidR="002939F6" w:rsidRDefault="00865798">
      <w:pPr>
        <w:pStyle w:val="normal0"/>
        <w:widowControl w:val="0"/>
        <w:numPr>
          <w:ilvl w:val="0"/>
          <w:numId w:val="1"/>
        </w:numPr>
        <w:spacing w:line="331" w:lineRule="auto"/>
        <w:ind w:hanging="360"/>
        <w:contextualSpacing/>
      </w:pPr>
      <w:r>
        <w:t>Spending during a sale is the biggest behavioural factor to ballooning credit card debt, with 58% pulling out the plastic during a sale</w:t>
      </w:r>
    </w:p>
    <w:p w:rsidR="002939F6" w:rsidRDefault="00865798">
      <w:pPr>
        <w:pStyle w:val="normal0"/>
        <w:widowControl w:val="0"/>
        <w:numPr>
          <w:ilvl w:val="0"/>
          <w:numId w:val="1"/>
        </w:numPr>
        <w:spacing w:line="331" w:lineRule="auto"/>
        <w:ind w:hanging="360"/>
        <w:contextualSpacing/>
      </w:pPr>
      <w:r>
        <w:t>Emotional shopping when happy or upset accounted for 28% of motives</w:t>
      </w:r>
    </w:p>
    <w:p w:rsidR="002939F6" w:rsidRDefault="00865798">
      <w:pPr>
        <w:pStyle w:val="normal0"/>
        <w:widowControl w:val="0"/>
        <w:numPr>
          <w:ilvl w:val="0"/>
          <w:numId w:val="1"/>
        </w:numPr>
        <w:spacing w:line="331" w:lineRule="auto"/>
        <w:ind w:hanging="360"/>
        <w:contextualSpacing/>
      </w:pPr>
      <w:r>
        <w:t>The majority of cardholders (60%) could manage their credit card spending better if they compared cards and found a better deal, while more than 1 in 3 (37%) would benefit from destroying</w:t>
      </w:r>
      <w:r>
        <w:t xml:space="preserve"> their credit card or locking it away</w:t>
      </w:r>
    </w:p>
    <w:p w:rsidR="002939F6" w:rsidRDefault="002939F6">
      <w:pPr>
        <w:pStyle w:val="normal0"/>
        <w:widowControl w:val="0"/>
        <w:ind w:left="20"/>
      </w:pPr>
    </w:p>
    <w:p w:rsidR="00865798" w:rsidRDefault="00865798">
      <w:pPr>
        <w:pStyle w:val="normal0"/>
        <w:widowControl w:val="0"/>
        <w:spacing w:line="331" w:lineRule="auto"/>
        <w:ind w:left="20"/>
        <w:rPr>
          <w:b/>
        </w:rPr>
      </w:pPr>
    </w:p>
    <w:p w:rsidR="00865798" w:rsidRDefault="00865798">
      <w:pPr>
        <w:pStyle w:val="normal0"/>
        <w:widowControl w:val="0"/>
        <w:spacing w:line="331" w:lineRule="auto"/>
        <w:ind w:left="20"/>
        <w:rPr>
          <w:b/>
        </w:rPr>
      </w:pPr>
    </w:p>
    <w:p w:rsidR="00865798" w:rsidRDefault="00865798">
      <w:pPr>
        <w:pStyle w:val="normal0"/>
        <w:widowControl w:val="0"/>
        <w:spacing w:line="331" w:lineRule="auto"/>
        <w:ind w:left="20"/>
        <w:rPr>
          <w:b/>
        </w:rPr>
      </w:pPr>
    </w:p>
    <w:p w:rsidR="00865798" w:rsidRDefault="00865798">
      <w:pPr>
        <w:pStyle w:val="normal0"/>
        <w:widowControl w:val="0"/>
        <w:spacing w:line="331" w:lineRule="auto"/>
        <w:ind w:left="20"/>
        <w:rPr>
          <w:b/>
        </w:rPr>
      </w:pPr>
    </w:p>
    <w:p w:rsidR="002939F6" w:rsidRDefault="00865798">
      <w:pPr>
        <w:pStyle w:val="normal0"/>
        <w:widowControl w:val="0"/>
        <w:spacing w:line="331" w:lineRule="auto"/>
        <w:ind w:left="20"/>
      </w:pPr>
      <w:bookmarkStart w:id="0" w:name="_GoBack"/>
      <w:bookmarkEnd w:id="0"/>
      <w:r>
        <w:rPr>
          <w:b/>
        </w:rPr>
        <w:lastRenderedPageBreak/>
        <w:t>State by state</w:t>
      </w:r>
    </w:p>
    <w:p w:rsidR="002939F6" w:rsidRDefault="00865798">
      <w:pPr>
        <w:pStyle w:val="normal0"/>
        <w:widowControl w:val="0"/>
        <w:numPr>
          <w:ilvl w:val="0"/>
          <w:numId w:val="3"/>
        </w:numPr>
        <w:spacing w:line="331" w:lineRule="auto"/>
        <w:ind w:hanging="360"/>
        <w:contextualSpacing/>
      </w:pPr>
      <w:r>
        <w:t>Victorians are the biggest credit card spenders, with more than a quarter (28%) spending $2,000 or more on credit cards each month</w:t>
      </w:r>
    </w:p>
    <w:p w:rsidR="002939F6" w:rsidRDefault="00865798">
      <w:pPr>
        <w:pStyle w:val="normal0"/>
        <w:widowControl w:val="0"/>
        <w:numPr>
          <w:ilvl w:val="0"/>
          <w:numId w:val="3"/>
        </w:numPr>
        <w:spacing w:line="331" w:lineRule="auto"/>
        <w:ind w:hanging="360"/>
        <w:contextualSpacing/>
      </w:pPr>
      <w:r>
        <w:t>South Australians are the most conservative with 2 out of 5 (41%) spend</w:t>
      </w:r>
      <w:r>
        <w:t>ing $500 or less each month on their cards</w:t>
      </w:r>
    </w:p>
    <w:p w:rsidR="002939F6" w:rsidRDefault="00865798">
      <w:pPr>
        <w:pStyle w:val="normal0"/>
        <w:widowControl w:val="0"/>
        <w:numPr>
          <w:ilvl w:val="0"/>
          <w:numId w:val="3"/>
        </w:numPr>
        <w:spacing w:line="331" w:lineRule="auto"/>
        <w:ind w:hanging="360"/>
        <w:contextualSpacing/>
      </w:pPr>
      <w:r>
        <w:t>Queensland card holders were the most responsible with their cards, as they were least likely to make any unplanned purchases</w:t>
      </w:r>
    </w:p>
    <w:p w:rsidR="002939F6" w:rsidRDefault="00865798">
      <w:pPr>
        <w:pStyle w:val="normal0"/>
        <w:widowControl w:val="0"/>
        <w:numPr>
          <w:ilvl w:val="0"/>
          <w:numId w:val="3"/>
        </w:numPr>
        <w:spacing w:line="331" w:lineRule="auto"/>
        <w:ind w:hanging="360"/>
        <w:contextualSpacing/>
      </w:pPr>
      <w:r>
        <w:t>New South Wales credit card holders are most likely to pay off their credit cards in fu</w:t>
      </w:r>
      <w:r>
        <w:t>ll each month compared to those in other states</w:t>
      </w:r>
    </w:p>
    <w:p w:rsidR="002939F6" w:rsidRDefault="00865798">
      <w:pPr>
        <w:pStyle w:val="normal0"/>
        <w:widowControl w:val="0"/>
        <w:numPr>
          <w:ilvl w:val="0"/>
          <w:numId w:val="3"/>
        </w:numPr>
        <w:spacing w:line="331" w:lineRule="auto"/>
        <w:ind w:hanging="360"/>
        <w:contextualSpacing/>
      </w:pPr>
      <w:r>
        <w:t>Western Australians are least likely to pay off their credit card balances in full each month paying unnecessary interest. They were also the state that recorded paying for the highest proportion of unexpecte</w:t>
      </w:r>
      <w:r>
        <w:t>d bills each month</w:t>
      </w:r>
    </w:p>
    <w:p w:rsidR="002939F6" w:rsidRDefault="002939F6">
      <w:pPr>
        <w:pStyle w:val="normal0"/>
        <w:widowControl w:val="0"/>
        <w:ind w:left="20"/>
      </w:pPr>
    </w:p>
    <w:p w:rsidR="002939F6" w:rsidRDefault="00865798">
      <w:pPr>
        <w:pStyle w:val="normal0"/>
        <w:widowControl w:val="0"/>
        <w:spacing w:line="331" w:lineRule="auto"/>
        <w:ind w:left="20"/>
      </w:pPr>
      <w:r>
        <w:rPr>
          <w:b/>
        </w:rPr>
        <w:t>Gender</w:t>
      </w:r>
    </w:p>
    <w:p w:rsidR="002939F6" w:rsidRDefault="00865798">
      <w:pPr>
        <w:pStyle w:val="normal0"/>
        <w:widowControl w:val="0"/>
        <w:numPr>
          <w:ilvl w:val="0"/>
          <w:numId w:val="4"/>
        </w:numPr>
        <w:spacing w:line="331" w:lineRule="auto"/>
        <w:ind w:hanging="360"/>
        <w:contextualSpacing/>
      </w:pPr>
      <w:r>
        <w:t xml:space="preserve">Men were more likely to own a credit card and use it to make more unplanned purchases than women </w:t>
      </w:r>
    </w:p>
    <w:p w:rsidR="002939F6" w:rsidRDefault="00865798">
      <w:pPr>
        <w:pStyle w:val="normal0"/>
        <w:widowControl w:val="0"/>
        <w:numPr>
          <w:ilvl w:val="0"/>
          <w:numId w:val="4"/>
        </w:numPr>
        <w:spacing w:line="331" w:lineRule="auto"/>
        <w:ind w:hanging="360"/>
        <w:contextualSpacing/>
      </w:pPr>
      <w:r>
        <w:t>Men were bigger spenders, with more men spending more than $5,000 per month on their cards than women</w:t>
      </w:r>
    </w:p>
    <w:p w:rsidR="002939F6" w:rsidRDefault="00865798">
      <w:pPr>
        <w:pStyle w:val="normal0"/>
        <w:widowControl w:val="0"/>
        <w:numPr>
          <w:ilvl w:val="0"/>
          <w:numId w:val="4"/>
        </w:numPr>
        <w:spacing w:line="331" w:lineRule="auto"/>
        <w:ind w:hanging="360"/>
        <w:contextualSpacing/>
      </w:pPr>
      <w:r>
        <w:t xml:space="preserve">Women are less likely to pay </w:t>
      </w:r>
      <w:r>
        <w:t>off their credit card debt on time compared to men</w:t>
      </w:r>
    </w:p>
    <w:p w:rsidR="002939F6" w:rsidRDefault="00865798">
      <w:pPr>
        <w:pStyle w:val="normal0"/>
        <w:widowControl w:val="0"/>
        <w:numPr>
          <w:ilvl w:val="0"/>
          <w:numId w:val="4"/>
        </w:numPr>
        <w:spacing w:line="331" w:lineRule="auto"/>
        <w:ind w:hanging="360"/>
        <w:contextualSpacing/>
      </w:pPr>
      <w:r>
        <w:t>Men are more likely to splurge on going out/entertainment than women</w:t>
      </w:r>
    </w:p>
    <w:p w:rsidR="002939F6" w:rsidRDefault="00865798">
      <w:pPr>
        <w:pStyle w:val="normal0"/>
        <w:widowControl w:val="0"/>
        <w:numPr>
          <w:ilvl w:val="0"/>
          <w:numId w:val="4"/>
        </w:numPr>
        <w:spacing w:line="331" w:lineRule="auto"/>
        <w:ind w:hanging="360"/>
        <w:contextualSpacing/>
      </w:pPr>
      <w:r>
        <w:t>Women were more likely to use their credit cards when they were upset than men</w:t>
      </w:r>
    </w:p>
    <w:p w:rsidR="002939F6" w:rsidRDefault="00865798">
      <w:pPr>
        <w:pStyle w:val="normal0"/>
        <w:widowControl w:val="0"/>
        <w:numPr>
          <w:ilvl w:val="0"/>
          <w:numId w:val="4"/>
        </w:numPr>
        <w:spacing w:line="331" w:lineRule="auto"/>
        <w:ind w:hanging="360"/>
        <w:contextualSpacing/>
      </w:pPr>
      <w:r>
        <w:t>Men are more likely to run out of cash before payday, wit</w:t>
      </w:r>
      <w:r>
        <w:t>h men almost double as likely to use their credit cards just before payday than women</w:t>
      </w:r>
    </w:p>
    <w:p w:rsidR="002939F6" w:rsidRDefault="00865798">
      <w:pPr>
        <w:pStyle w:val="normal0"/>
        <w:widowControl w:val="0"/>
        <w:numPr>
          <w:ilvl w:val="0"/>
          <w:numId w:val="4"/>
        </w:numPr>
        <w:spacing w:line="331" w:lineRule="auto"/>
        <w:ind w:hanging="360"/>
        <w:contextualSpacing/>
      </w:pPr>
      <w:r>
        <w:t>Men were more likely than women to use a comparison website to help them manage their credit card spending and find a better deal</w:t>
      </w:r>
    </w:p>
    <w:p w:rsidR="002939F6" w:rsidRDefault="002939F6">
      <w:pPr>
        <w:pStyle w:val="normal0"/>
        <w:widowControl w:val="0"/>
        <w:ind w:left="20"/>
      </w:pPr>
    </w:p>
    <w:p w:rsidR="002939F6" w:rsidRDefault="00865798">
      <w:pPr>
        <w:pStyle w:val="normal0"/>
        <w:widowControl w:val="0"/>
        <w:spacing w:line="331" w:lineRule="auto"/>
      </w:pPr>
      <w:r>
        <w:rPr>
          <w:b/>
        </w:rPr>
        <w:t>Age</w:t>
      </w:r>
    </w:p>
    <w:p w:rsidR="002939F6" w:rsidRDefault="00865798">
      <w:pPr>
        <w:pStyle w:val="normal0"/>
        <w:widowControl w:val="0"/>
        <w:numPr>
          <w:ilvl w:val="0"/>
          <w:numId w:val="5"/>
        </w:numPr>
        <w:spacing w:line="331" w:lineRule="auto"/>
        <w:ind w:hanging="360"/>
        <w:contextualSpacing/>
      </w:pPr>
      <w:r>
        <w:t>Generation X (aged 35-54) are the least likely to pay off their balance in full each month</w:t>
      </w:r>
    </w:p>
    <w:p w:rsidR="002939F6" w:rsidRDefault="00865798">
      <w:pPr>
        <w:pStyle w:val="normal0"/>
        <w:widowControl w:val="0"/>
        <w:numPr>
          <w:ilvl w:val="0"/>
          <w:numId w:val="5"/>
        </w:numPr>
        <w:spacing w:line="331" w:lineRule="auto"/>
        <w:ind w:hanging="360"/>
        <w:contextualSpacing/>
      </w:pPr>
      <w:r>
        <w:t>About half of Gen X (50%) make 1-3 unplanned credit card purchases every month</w:t>
      </w:r>
    </w:p>
    <w:p w:rsidR="002939F6" w:rsidRDefault="00865798">
      <w:pPr>
        <w:pStyle w:val="normal0"/>
        <w:widowControl w:val="0"/>
        <w:numPr>
          <w:ilvl w:val="0"/>
          <w:numId w:val="5"/>
        </w:numPr>
        <w:spacing w:line="331" w:lineRule="auto"/>
        <w:ind w:hanging="360"/>
        <w:contextualSpacing/>
      </w:pPr>
      <w:r>
        <w:t xml:space="preserve">Generation Y (aged 18-34) are more likely to splurge on shopping sprees and going out </w:t>
      </w:r>
      <w:r>
        <w:t>than other age groups</w:t>
      </w:r>
    </w:p>
    <w:p w:rsidR="002939F6" w:rsidRDefault="00865798">
      <w:pPr>
        <w:pStyle w:val="normal0"/>
        <w:widowControl w:val="0"/>
        <w:numPr>
          <w:ilvl w:val="0"/>
          <w:numId w:val="5"/>
        </w:numPr>
        <w:spacing w:line="331" w:lineRule="auto"/>
        <w:ind w:hanging="360"/>
        <w:contextualSpacing/>
      </w:pPr>
      <w:r>
        <w:t>Australians aged 75-years-plus are the most sales-conscious – 67% use their credit cards the most during sales</w:t>
      </w:r>
    </w:p>
    <w:p w:rsidR="002939F6" w:rsidRDefault="00865798">
      <w:pPr>
        <w:pStyle w:val="normal0"/>
        <w:widowControl w:val="0"/>
        <w:numPr>
          <w:ilvl w:val="0"/>
          <w:numId w:val="5"/>
        </w:numPr>
        <w:spacing w:line="331" w:lineRule="auto"/>
        <w:ind w:hanging="360"/>
        <w:contextualSpacing/>
      </w:pPr>
      <w:r>
        <w:t>A</w:t>
      </w:r>
      <w:r>
        <w:t>bout one third (33%) of Gen X spends</w:t>
      </w:r>
      <w:r>
        <w:t xml:space="preserve"> at least $500 monthly on their cards. They’re also more likely to spend over $5,000 on their</w:t>
      </w:r>
      <w:r>
        <w:t xml:space="preserve"> cards each month.</w:t>
      </w:r>
    </w:p>
    <w:p w:rsidR="002939F6" w:rsidRDefault="002939F6">
      <w:pPr>
        <w:pStyle w:val="normal0"/>
        <w:widowControl w:val="0"/>
        <w:ind w:left="20"/>
      </w:pPr>
    </w:p>
    <w:p w:rsidR="002939F6" w:rsidRDefault="002939F6">
      <w:pPr>
        <w:pStyle w:val="normal0"/>
        <w:widowControl w:val="0"/>
        <w:ind w:left="20"/>
      </w:pPr>
    </w:p>
    <w:p w:rsidR="002939F6" w:rsidRDefault="00865798">
      <w:pPr>
        <w:pStyle w:val="normal0"/>
        <w:widowControl w:val="0"/>
      </w:pPr>
      <w:r>
        <w:rPr>
          <w:color w:val="777777"/>
          <w:sz w:val="28"/>
        </w:rPr>
        <w:t>###</w:t>
      </w:r>
    </w:p>
    <w:p w:rsidR="002939F6" w:rsidRDefault="002939F6">
      <w:pPr>
        <w:pStyle w:val="normal0"/>
        <w:widowControl w:val="0"/>
      </w:pPr>
    </w:p>
    <w:p w:rsidR="002939F6" w:rsidRDefault="00865798">
      <w:pPr>
        <w:pStyle w:val="normal0"/>
        <w:widowControl w:val="0"/>
      </w:pPr>
      <w:r>
        <w:rPr>
          <w:b/>
          <w:color w:val="777777"/>
          <w:sz w:val="28"/>
        </w:rPr>
        <w:t>For further information:</w:t>
      </w:r>
    </w:p>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939F6">
        <w:tc>
          <w:tcPr>
            <w:tcW w:w="4680" w:type="dxa"/>
            <w:tcMar>
              <w:top w:w="100" w:type="dxa"/>
              <w:left w:w="100" w:type="dxa"/>
              <w:bottom w:w="100" w:type="dxa"/>
              <w:right w:w="100" w:type="dxa"/>
            </w:tcMar>
          </w:tcPr>
          <w:p w:rsidR="002939F6" w:rsidRDefault="00865798">
            <w:pPr>
              <w:pStyle w:val="normal0"/>
              <w:widowControl w:val="0"/>
            </w:pPr>
            <w:r>
              <w:rPr>
                <w:b/>
                <w:color w:val="777777"/>
                <w:sz w:val="20"/>
              </w:rPr>
              <w:t>Michelle Hutchison</w:t>
            </w:r>
          </w:p>
          <w:p w:rsidR="002939F6" w:rsidRDefault="00865798">
            <w:pPr>
              <w:pStyle w:val="normal0"/>
              <w:widowControl w:val="0"/>
            </w:pPr>
            <w:r>
              <w:rPr>
                <w:color w:val="777777"/>
                <w:sz w:val="20"/>
              </w:rPr>
              <w:t>Head of PR &amp; Money Expert</w:t>
            </w:r>
          </w:p>
          <w:p w:rsidR="002939F6" w:rsidRDefault="00865798">
            <w:pPr>
              <w:pStyle w:val="normal0"/>
              <w:widowControl w:val="0"/>
              <w:ind w:left="20"/>
            </w:pPr>
            <w:proofErr w:type="gramStart"/>
            <w:r>
              <w:rPr>
                <w:color w:val="777777"/>
                <w:sz w:val="20"/>
              </w:rPr>
              <w:t>finder.com.au</w:t>
            </w:r>
            <w:proofErr w:type="gramEnd"/>
          </w:p>
          <w:p w:rsidR="002939F6" w:rsidRDefault="00865798">
            <w:pPr>
              <w:pStyle w:val="normal0"/>
              <w:widowControl w:val="0"/>
            </w:pPr>
            <w:r>
              <w:rPr>
                <w:color w:val="777777"/>
                <w:sz w:val="20"/>
              </w:rPr>
              <w:t>+61403 192 994</w:t>
            </w:r>
          </w:p>
          <w:p w:rsidR="002939F6" w:rsidRDefault="00865798">
            <w:pPr>
              <w:pStyle w:val="normal0"/>
              <w:widowControl w:val="0"/>
            </w:pPr>
            <w:r>
              <w:rPr>
                <w:color w:val="777777"/>
                <w:sz w:val="20"/>
              </w:rPr>
              <w:t>+61 2 9299 7602</w:t>
            </w:r>
          </w:p>
          <w:p w:rsidR="002939F6" w:rsidRDefault="00865798">
            <w:pPr>
              <w:pStyle w:val="normal0"/>
              <w:widowControl w:val="0"/>
              <w:ind w:left="20"/>
            </w:pPr>
            <w:hyperlink r:id="rId17">
              <w:r>
                <w:rPr>
                  <w:color w:val="777777"/>
                  <w:sz w:val="20"/>
                  <w:u w:val="single"/>
                </w:rPr>
                <w:t>Michelle@finder.com.au</w:t>
              </w:r>
            </w:hyperlink>
          </w:p>
        </w:tc>
        <w:tc>
          <w:tcPr>
            <w:tcW w:w="4680" w:type="dxa"/>
            <w:tcMar>
              <w:top w:w="100" w:type="dxa"/>
              <w:left w:w="100" w:type="dxa"/>
              <w:bottom w:w="100" w:type="dxa"/>
              <w:right w:w="100" w:type="dxa"/>
            </w:tcMar>
          </w:tcPr>
          <w:p w:rsidR="002939F6" w:rsidRDefault="00865798">
            <w:pPr>
              <w:pStyle w:val="normal0"/>
              <w:widowControl w:val="0"/>
            </w:pPr>
            <w:r>
              <w:rPr>
                <w:b/>
                <w:color w:val="777777"/>
                <w:sz w:val="20"/>
              </w:rPr>
              <w:t>Bessie Hassan</w:t>
            </w:r>
          </w:p>
          <w:p w:rsidR="002939F6" w:rsidRDefault="00865798">
            <w:pPr>
              <w:pStyle w:val="normal0"/>
              <w:widowControl w:val="0"/>
            </w:pPr>
            <w:r>
              <w:rPr>
                <w:color w:val="777777"/>
                <w:sz w:val="20"/>
              </w:rPr>
              <w:t>Editor &amp; PR Manager</w:t>
            </w:r>
          </w:p>
          <w:p w:rsidR="002939F6" w:rsidRDefault="00865798">
            <w:pPr>
              <w:pStyle w:val="normal0"/>
              <w:widowControl w:val="0"/>
              <w:ind w:left="20"/>
            </w:pPr>
            <w:proofErr w:type="gramStart"/>
            <w:r>
              <w:rPr>
                <w:color w:val="777777"/>
                <w:sz w:val="20"/>
              </w:rPr>
              <w:t>finder.com.au</w:t>
            </w:r>
            <w:proofErr w:type="gramEnd"/>
          </w:p>
          <w:p w:rsidR="002939F6" w:rsidRDefault="00865798">
            <w:pPr>
              <w:pStyle w:val="normal0"/>
              <w:widowControl w:val="0"/>
            </w:pPr>
            <w:r>
              <w:rPr>
                <w:color w:val="777777"/>
                <w:sz w:val="20"/>
              </w:rPr>
              <w:t>+61402 567 568</w:t>
            </w:r>
          </w:p>
          <w:p w:rsidR="002939F6" w:rsidRDefault="00865798">
            <w:pPr>
              <w:pStyle w:val="normal0"/>
              <w:widowControl w:val="0"/>
            </w:pPr>
            <w:r>
              <w:rPr>
                <w:color w:val="777777"/>
                <w:sz w:val="20"/>
              </w:rPr>
              <w:t>+61 2 9299 7602</w:t>
            </w:r>
          </w:p>
          <w:p w:rsidR="002939F6" w:rsidRDefault="00865798">
            <w:pPr>
              <w:pStyle w:val="normal0"/>
              <w:widowControl w:val="0"/>
              <w:ind w:left="20"/>
            </w:pPr>
            <w:hyperlink r:id="rId18">
              <w:r>
                <w:rPr>
                  <w:color w:val="777777"/>
                  <w:sz w:val="20"/>
                  <w:u w:val="single"/>
                </w:rPr>
                <w:t>Bessie.Hassan@finder.com.au</w:t>
              </w:r>
            </w:hyperlink>
          </w:p>
        </w:tc>
      </w:tr>
    </w:tbl>
    <w:p w:rsidR="002939F6" w:rsidRDefault="002939F6">
      <w:pPr>
        <w:pStyle w:val="normal0"/>
        <w:widowControl w:val="0"/>
      </w:pPr>
    </w:p>
    <w:p w:rsidR="002939F6" w:rsidRDefault="00865798">
      <w:pPr>
        <w:pStyle w:val="normal0"/>
        <w:widowControl w:val="0"/>
        <w:spacing w:line="240" w:lineRule="auto"/>
        <w:ind w:left="20"/>
      </w:pPr>
      <w:r>
        <w:rPr>
          <w:b/>
          <w:color w:val="777777"/>
          <w:sz w:val="18"/>
        </w:rPr>
        <w:t>About finder.com.au:</w:t>
      </w:r>
    </w:p>
    <w:p w:rsidR="002939F6" w:rsidRDefault="00865798">
      <w:pPr>
        <w:pStyle w:val="normal0"/>
        <w:widowControl w:val="0"/>
        <w:ind w:left="20"/>
      </w:pPr>
      <w:hyperlink r:id="rId19">
        <w:proofErr w:type="gramStart"/>
        <w:r>
          <w:rPr>
            <w:i/>
            <w:color w:val="777777"/>
            <w:sz w:val="18"/>
            <w:u w:val="single"/>
          </w:rPr>
          <w:t>find</w:t>
        </w:r>
        <w:r>
          <w:rPr>
            <w:i/>
            <w:color w:val="777777"/>
            <w:sz w:val="18"/>
            <w:u w:val="single"/>
          </w:rPr>
          <w:t>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w:t>
      </w:r>
      <w:r>
        <w:rPr>
          <w:i/>
          <w:color w:val="777777"/>
          <w:sz w:val="18"/>
        </w:rPr>
        <w:t>iders, over 300 home loan products, and information from 13 life insurance providers as well as online shopping promo codes, mobile phone plans, travel insurance and more. One Australian every five minutes is using</w:t>
      </w:r>
      <w:hyperlink r:id="rId20">
        <w:r>
          <w:rPr>
            <w:i/>
            <w:color w:val="777777"/>
            <w:sz w:val="18"/>
            <w:u w:val="single"/>
          </w:rPr>
          <w:t xml:space="preserve"> finder.com.au</w:t>
        </w:r>
      </w:hyperlink>
      <w:r>
        <w:rPr>
          <w:i/>
          <w:color w:val="777777"/>
          <w:sz w:val="18"/>
        </w:rPr>
        <w:t xml:space="preserve"> or one of its network sites</w:t>
      </w:r>
      <w:hyperlink r:id="rId21">
        <w:r>
          <w:rPr>
            <w:i/>
            <w:color w:val="777777"/>
            <w:sz w:val="18"/>
          </w:rPr>
          <w:t xml:space="preserve"> </w:t>
        </w:r>
      </w:hyperlink>
      <w:hyperlink r:id="rId22">
        <w:r>
          <w:rPr>
            <w:i/>
            <w:color w:val="777777"/>
            <w:sz w:val="18"/>
            <w:u w:val="single"/>
          </w:rPr>
          <w:t>creditcardfinder.com.au</w:t>
        </w:r>
      </w:hyperlink>
      <w:r>
        <w:rPr>
          <w:i/>
          <w:color w:val="777777"/>
          <w:sz w:val="18"/>
        </w:rPr>
        <w:t xml:space="preserve"> and</w:t>
      </w:r>
      <w:hyperlink r:id="rId23">
        <w:r>
          <w:rPr>
            <w:i/>
            <w:color w:val="777777"/>
            <w:sz w:val="18"/>
          </w:rPr>
          <w:t xml:space="preserve"> </w:t>
        </w:r>
      </w:hyperlink>
      <w:hyperlink r:id="rId24">
        <w:r>
          <w:rPr>
            <w:i/>
            <w:color w:val="777777"/>
            <w:sz w:val="18"/>
            <w:u w:val="single"/>
          </w:rPr>
          <w:t>lifeinsurancefinder.com.au</w:t>
        </w:r>
      </w:hyperlink>
      <w:r>
        <w:rPr>
          <w:i/>
          <w:color w:val="777777"/>
          <w:sz w:val="18"/>
        </w:rPr>
        <w:t xml:space="preserve"> to find better (Source: Google Analytics). </w:t>
      </w:r>
    </w:p>
    <w:p w:rsidR="002939F6" w:rsidRDefault="002939F6">
      <w:pPr>
        <w:pStyle w:val="normal0"/>
        <w:widowControl w:val="0"/>
        <w:ind w:left="20"/>
      </w:pPr>
    </w:p>
    <w:p w:rsidR="002939F6" w:rsidRDefault="00865798">
      <w:pPr>
        <w:pStyle w:val="normal0"/>
        <w:widowControl w:val="0"/>
      </w:pPr>
      <w:r>
        <w:rPr>
          <w:b/>
          <w:color w:val="777777"/>
          <w:sz w:val="18"/>
        </w:rPr>
        <w:t>Disclaimer</w:t>
      </w:r>
      <w:r>
        <w:rPr>
          <w:color w:val="777777"/>
          <w:sz w:val="18"/>
        </w:rPr>
        <w:t>:</w:t>
      </w:r>
    </w:p>
    <w:p w:rsidR="002939F6" w:rsidRDefault="00865798">
      <w:pPr>
        <w:pStyle w:val="normal0"/>
        <w:widowControl w:val="0"/>
      </w:pPr>
      <w:r>
        <w:rPr>
          <w:i/>
          <w:color w:val="777777"/>
          <w:sz w:val="18"/>
        </w:rPr>
        <w:t xml:space="preserve">Hive Empire Pty Ltd (trading as finder.com.au, ABN: 18 118 785 121) provides factual information, general advice and services on </w:t>
      </w:r>
      <w:r>
        <w:rPr>
          <w:i/>
          <w:color w:val="777777"/>
          <w:sz w:val="18"/>
        </w:rPr>
        <w:t xml:space="preserve">financial products as a Corporate Authorised Representative (432664) of Advice Evolution Pty Ltd AFSL 342880. Please refer to our </w:t>
      </w:r>
      <w:hyperlink r:id="rId25">
        <w:r>
          <w:rPr>
            <w:i/>
            <w:color w:val="777777"/>
            <w:sz w:val="18"/>
            <w:u w:val="single"/>
          </w:rPr>
          <w:t>FSG</w:t>
        </w:r>
      </w:hyperlink>
      <w:r>
        <w:rPr>
          <w:i/>
          <w:color w:val="777777"/>
          <w:sz w:val="18"/>
        </w:rPr>
        <w:t xml:space="preserve"> and Credit Licence ACL 385509.  </w:t>
      </w:r>
      <w:r>
        <w:rPr>
          <w:i/>
          <w:color w:val="777777"/>
          <w:sz w:val="18"/>
        </w:rPr>
        <w:t xml:space="preserve">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w:t>
      </w:r>
      <w:r>
        <w:rPr>
          <w:i/>
          <w:color w:val="777777"/>
          <w:sz w:val="18"/>
        </w:rPr>
        <w:t xml:space="preserve"> or a credit provider. Although we cover a wide range of products, providers and services we don't cover every product, provider or service available in the market. We also don't recommend specific products, services or providers. If you decide to apply fo</w:t>
      </w:r>
      <w:r>
        <w:rPr>
          <w:i/>
          <w:color w:val="777777"/>
          <w:sz w:val="18"/>
        </w:rPr>
        <w:t>r a product or service through our website you will be dealing directly with the provider of that product or service and not with us. We recommend consumers understand the Product Disclosure Statements before deciding if a product is right for them (c) 201</w:t>
      </w:r>
      <w:r>
        <w:rPr>
          <w:i/>
          <w:color w:val="777777"/>
          <w:sz w:val="18"/>
        </w:rPr>
        <w:t>3.</w:t>
      </w:r>
    </w:p>
    <w:p w:rsidR="002939F6" w:rsidRDefault="002939F6">
      <w:pPr>
        <w:pStyle w:val="normal0"/>
      </w:pPr>
    </w:p>
    <w:sectPr w:rsidR="002939F6">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5798">
      <w:pPr>
        <w:spacing w:line="240" w:lineRule="auto"/>
      </w:pPr>
      <w:r>
        <w:separator/>
      </w:r>
    </w:p>
  </w:endnote>
  <w:endnote w:type="continuationSeparator" w:id="0">
    <w:p w:rsidR="00000000" w:rsidRDefault="00865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F6" w:rsidRDefault="002939F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5798">
      <w:pPr>
        <w:spacing w:line="240" w:lineRule="auto"/>
      </w:pPr>
      <w:r>
        <w:separator/>
      </w:r>
    </w:p>
  </w:footnote>
  <w:footnote w:type="continuationSeparator" w:id="0">
    <w:p w:rsidR="00000000" w:rsidRDefault="00865798">
      <w:pPr>
        <w:spacing w:line="240" w:lineRule="auto"/>
      </w:pPr>
      <w:r>
        <w:continuationSeparator/>
      </w:r>
    </w:p>
  </w:footnote>
  <w:footnote w:id="1">
    <w:p w:rsidR="002939F6" w:rsidRDefault="00865798">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since 2013</w:t>
      </w:r>
    </w:p>
  </w:footnote>
  <w:footnote w:id="2">
    <w:p w:rsidR="002939F6" w:rsidRDefault="00865798">
      <w:pPr>
        <w:pStyle w:val="normal0"/>
        <w:spacing w:line="240" w:lineRule="auto"/>
      </w:pPr>
      <w:r>
        <w:rPr>
          <w:vertAlign w:val="superscript"/>
        </w:rPr>
        <w:footnoteRef/>
      </w:r>
      <w:r>
        <w:rPr>
          <w:color w:val="666666"/>
          <w:sz w:val="18"/>
        </w:rPr>
        <w:t xml:space="preserve"> Survey commissioned by </w:t>
      </w:r>
      <w:hyperlink r:id="rId1">
        <w:r>
          <w:rPr>
            <w:color w:val="666666"/>
            <w:sz w:val="18"/>
            <w:u w:val="single"/>
          </w:rPr>
          <w:t>creditcardfinder.com.au</w:t>
        </w:r>
      </w:hyperlink>
      <w:r>
        <w:rPr>
          <w:color w:val="666666"/>
          <w:sz w:val="18"/>
        </w:rPr>
        <w:t xml:space="preserve"> and conducted by global research provider </w:t>
      </w:r>
      <w:r>
        <w:rPr>
          <w:color w:val="666666"/>
          <w:sz w:val="18"/>
        </w:rPr>
        <w:t>pureprofile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F6" w:rsidRDefault="00865798">
    <w:pPr>
      <w:pStyle w:val="normal0"/>
      <w:jc w:val="right"/>
    </w:pPr>
    <w:r>
      <w:rPr>
        <w:noProof/>
        <w:lang w:val="en-US"/>
      </w:rPr>
      <w:drawing>
        <wp:inline distT="19050" distB="19050" distL="19050" distR="19050">
          <wp:extent cx="3114675" cy="9429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F0B"/>
    <w:multiLevelType w:val="multilevel"/>
    <w:tmpl w:val="74FC7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1465B4"/>
    <w:multiLevelType w:val="multilevel"/>
    <w:tmpl w:val="CFFEE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5A6012"/>
    <w:multiLevelType w:val="multilevel"/>
    <w:tmpl w:val="BE5A0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05965A4"/>
    <w:multiLevelType w:val="multilevel"/>
    <w:tmpl w:val="1CAE9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3DE5F2C"/>
    <w:multiLevelType w:val="multilevel"/>
    <w:tmpl w:val="C13A6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39F6"/>
    <w:rsid w:val="002939F6"/>
    <w:rsid w:val="008657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7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7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ditcardfinder.com.au/" TargetMode="External"/><Relationship Id="rId20" Type="http://schemas.openxmlformats.org/officeDocument/2006/relationships/hyperlink" Target="http://www.finder.com.au" TargetMode="External"/><Relationship Id="rId21" Type="http://schemas.openxmlformats.org/officeDocument/2006/relationships/hyperlink" Target="http://www.creditcardfinder.com.au/" TargetMode="External"/><Relationship Id="rId22" Type="http://schemas.openxmlformats.org/officeDocument/2006/relationships/hyperlink" Target="http://www.creditcardfinder.com.au/" TargetMode="External"/><Relationship Id="rId23" Type="http://schemas.openxmlformats.org/officeDocument/2006/relationships/hyperlink" Target="http://www.lifeinsurancefinder.com.au/" TargetMode="External"/><Relationship Id="rId24" Type="http://schemas.openxmlformats.org/officeDocument/2006/relationships/hyperlink" Target="http://www.lifeinsurancefinder.com.au/" TargetMode="External"/><Relationship Id="rId25" Type="http://schemas.openxmlformats.org/officeDocument/2006/relationships/hyperlink" Target="http://www.finder.com.au/resources/Finder-Financial-Services-Guide.pdf"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reditcardfinder.com.au/" TargetMode="External"/><Relationship Id="rId11" Type="http://schemas.openxmlformats.org/officeDocument/2006/relationships/image" Target="media/image1.png"/><Relationship Id="rId12" Type="http://schemas.openxmlformats.org/officeDocument/2006/relationships/hyperlink" Target="http://creditcardfinder.com.au/" TargetMode="External"/><Relationship Id="rId13" Type="http://schemas.openxmlformats.org/officeDocument/2006/relationships/hyperlink" Target="http://creditcardfinder.com.au/" TargetMode="External"/><Relationship Id="rId14" Type="http://schemas.openxmlformats.org/officeDocument/2006/relationships/hyperlink" Target="http://creditcardfinder.com.au/" TargetMode="External"/><Relationship Id="rId15" Type="http://schemas.openxmlformats.org/officeDocument/2006/relationships/hyperlink" Target="http://creditcardfinder.com.au/" TargetMode="External"/><Relationship Id="rId16" Type="http://schemas.openxmlformats.org/officeDocument/2006/relationships/hyperlink" Target="http://creditcardfinder.com.au/" TargetMode="External"/><Relationship Id="rId17" Type="http://schemas.openxmlformats.org/officeDocument/2006/relationships/hyperlink" Target="mailto:Michelle@finder.com.au" TargetMode="External"/><Relationship Id="rId18" Type="http://schemas.openxmlformats.org/officeDocument/2006/relationships/hyperlink" Target="mailto:Bessie.Hassan@finder.com.au" TargetMode="External"/><Relationship Id="rId19" Type="http://schemas.openxmlformats.org/officeDocument/2006/relationships/hyperlink" Target="http://www.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ditcardfinder.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reditcard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8789</Characters>
  <Application>Microsoft Macintosh Word</Application>
  <DocSecurity>0</DocSecurity>
  <Lines>73</Lines>
  <Paragraphs>20</Paragraphs>
  <ScaleCrop>false</ScaleCrop>
  <Company>Finder.com.au</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2015-05-13T23:03:00Z</dcterms:created>
  <dcterms:modified xsi:type="dcterms:W3CDTF">2015-05-13T23:03:00Z</dcterms:modified>
</cp:coreProperties>
</file>