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819" w:rsidRDefault="00AC1819">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AC1819" w:rsidRPr="00DB4498">
        <w:tc>
          <w:tcPr>
            <w:tcW w:w="4957" w:type="dxa"/>
            <w:tcMar>
              <w:top w:w="40" w:type="dxa"/>
              <w:left w:w="40" w:type="dxa"/>
              <w:bottom w:w="40" w:type="dxa"/>
              <w:right w:w="40" w:type="dxa"/>
            </w:tcMar>
          </w:tcPr>
          <w:p w:rsidR="00AC1819" w:rsidRPr="00DB4498" w:rsidRDefault="00DB4498">
            <w:pPr>
              <w:pStyle w:val="Heading1"/>
              <w:spacing w:line="240" w:lineRule="auto"/>
              <w:contextualSpacing w:val="0"/>
              <w:rPr>
                <w:i w:val="0"/>
              </w:rPr>
            </w:pPr>
            <w:r w:rsidRPr="00DB4498">
              <w:rPr>
                <w:rFonts w:ascii="Arial" w:eastAsia="Arial" w:hAnsi="Arial" w:cs="Arial"/>
                <w:i w:val="0"/>
                <w:color w:val="1591FE"/>
                <w:sz w:val="48"/>
                <w:szCs w:val="48"/>
              </w:rPr>
              <w:t>Press release</w:t>
            </w:r>
          </w:p>
          <w:p w:rsidR="00AC1819" w:rsidRPr="00DB4498" w:rsidRDefault="00AC1819">
            <w:pPr>
              <w:pStyle w:val="Heading1"/>
              <w:spacing w:line="240" w:lineRule="auto"/>
              <w:ind w:left="0"/>
              <w:contextualSpacing w:val="0"/>
              <w:rPr>
                <w:i w:val="0"/>
              </w:rPr>
            </w:pPr>
          </w:p>
          <w:p w:rsidR="00AC1819" w:rsidRPr="00DB4498" w:rsidRDefault="00AC1819">
            <w:pPr>
              <w:pStyle w:val="normal0"/>
              <w:spacing w:line="240" w:lineRule="auto"/>
              <w:ind w:left="0"/>
              <w:contextualSpacing w:val="0"/>
            </w:pPr>
          </w:p>
          <w:p w:rsidR="00AC1819" w:rsidRPr="00DB4498" w:rsidRDefault="00DB4498">
            <w:pPr>
              <w:pStyle w:val="Heading1"/>
              <w:spacing w:line="240" w:lineRule="auto"/>
              <w:contextualSpacing w:val="0"/>
              <w:rPr>
                <w:i w:val="0"/>
              </w:rPr>
            </w:pPr>
            <w:r w:rsidRPr="00DB4498">
              <w:rPr>
                <w:rFonts w:ascii="Arial" w:eastAsia="Arial" w:hAnsi="Arial" w:cs="Arial"/>
                <w:i w:val="0"/>
                <w:color w:val="18304B"/>
              </w:rPr>
              <w:t>For immediate release</w:t>
            </w:r>
          </w:p>
          <w:p w:rsidR="00AC1819" w:rsidRPr="00DB4498" w:rsidRDefault="00DB4498">
            <w:pPr>
              <w:pStyle w:val="normal0"/>
              <w:spacing w:line="240" w:lineRule="auto"/>
              <w:ind w:left="0"/>
              <w:contextualSpacing w:val="0"/>
            </w:pPr>
            <w:r w:rsidRPr="00DB4498">
              <w:rPr>
                <w:rFonts w:ascii="Arial" w:eastAsia="Arial" w:hAnsi="Arial" w:cs="Arial"/>
                <w:color w:val="18304B"/>
              </w:rPr>
              <w:t>June 12, 2015</w:t>
            </w:r>
          </w:p>
        </w:tc>
        <w:tc>
          <w:tcPr>
            <w:tcW w:w="4957" w:type="dxa"/>
            <w:shd w:val="clear" w:color="auto" w:fill="E5E5E5"/>
            <w:tcMar>
              <w:top w:w="288" w:type="dxa"/>
              <w:left w:w="288" w:type="dxa"/>
              <w:bottom w:w="288" w:type="dxa"/>
              <w:right w:w="288" w:type="dxa"/>
            </w:tcMar>
          </w:tcPr>
          <w:p w:rsidR="00AC1819" w:rsidRPr="00DB4498" w:rsidRDefault="00DB4498">
            <w:pPr>
              <w:pStyle w:val="Heading2"/>
              <w:contextualSpacing w:val="0"/>
              <w:jc w:val="right"/>
            </w:pPr>
            <w:r w:rsidRPr="00DB4498">
              <w:rPr>
                <w:rFonts w:ascii="Arial" w:eastAsia="Arial" w:hAnsi="Arial" w:cs="Arial"/>
                <w:color w:val="777777"/>
              </w:rPr>
              <w:t>Michelle Hutchison</w:t>
            </w:r>
          </w:p>
          <w:p w:rsidR="00AC1819" w:rsidRPr="00DB4498" w:rsidRDefault="00DB4498">
            <w:pPr>
              <w:pStyle w:val="normal0"/>
              <w:contextualSpacing w:val="0"/>
              <w:jc w:val="right"/>
            </w:pPr>
            <w:r w:rsidRPr="00DB4498">
              <w:rPr>
                <w:rFonts w:ascii="Arial" w:eastAsia="Arial" w:hAnsi="Arial" w:cs="Arial"/>
                <w:color w:val="777777"/>
                <w:sz w:val="20"/>
                <w:szCs w:val="20"/>
              </w:rPr>
              <w:t>Head of PR &amp; Money Expert</w:t>
            </w:r>
          </w:p>
          <w:p w:rsidR="00AC1819" w:rsidRPr="00DB4498" w:rsidRDefault="00DB4498">
            <w:pPr>
              <w:pStyle w:val="normal0"/>
              <w:contextualSpacing w:val="0"/>
              <w:jc w:val="right"/>
            </w:pPr>
            <w:proofErr w:type="gramStart"/>
            <w:r w:rsidRPr="00DB4498">
              <w:rPr>
                <w:rFonts w:ascii="Arial" w:eastAsia="Arial" w:hAnsi="Arial" w:cs="Arial"/>
                <w:color w:val="777777"/>
                <w:sz w:val="20"/>
                <w:szCs w:val="20"/>
              </w:rPr>
              <w:t>finder.com.au</w:t>
            </w:r>
            <w:proofErr w:type="gramEnd"/>
          </w:p>
          <w:p w:rsidR="00AC1819" w:rsidRPr="00DB4498" w:rsidRDefault="00DB4498">
            <w:pPr>
              <w:pStyle w:val="normal0"/>
              <w:ind w:left="0"/>
              <w:contextualSpacing w:val="0"/>
              <w:jc w:val="right"/>
            </w:pPr>
            <w:r w:rsidRPr="00DB4498">
              <w:rPr>
                <w:rFonts w:ascii="Arial" w:eastAsia="Arial" w:hAnsi="Arial" w:cs="Arial"/>
                <w:color w:val="777777"/>
                <w:sz w:val="20"/>
                <w:szCs w:val="20"/>
              </w:rPr>
              <w:t>+61403 192 994</w:t>
            </w:r>
          </w:p>
          <w:p w:rsidR="00AC1819" w:rsidRPr="00DB4498" w:rsidRDefault="00DB4498">
            <w:pPr>
              <w:pStyle w:val="normal0"/>
              <w:ind w:left="0"/>
              <w:contextualSpacing w:val="0"/>
              <w:jc w:val="right"/>
            </w:pPr>
            <w:r w:rsidRPr="00DB4498">
              <w:rPr>
                <w:rFonts w:ascii="Arial" w:eastAsia="Arial" w:hAnsi="Arial" w:cs="Arial"/>
                <w:color w:val="777777"/>
                <w:sz w:val="20"/>
                <w:szCs w:val="20"/>
              </w:rPr>
              <w:t>+61 2 9299 7602</w:t>
            </w:r>
          </w:p>
          <w:p w:rsidR="00AC1819" w:rsidRPr="00DB4498" w:rsidRDefault="00DB4498">
            <w:pPr>
              <w:pStyle w:val="normal0"/>
              <w:contextualSpacing w:val="0"/>
              <w:jc w:val="right"/>
            </w:pPr>
            <w:r w:rsidRPr="00DB4498">
              <w:rPr>
                <w:rFonts w:ascii="Arial" w:eastAsia="Arial" w:hAnsi="Arial" w:cs="Arial"/>
                <w:color w:val="777777"/>
                <w:sz w:val="20"/>
                <w:szCs w:val="20"/>
              </w:rPr>
              <w:t>Michelle@finder.com.au</w:t>
            </w:r>
          </w:p>
        </w:tc>
      </w:tr>
    </w:tbl>
    <w:p w:rsidR="00AC1819" w:rsidRPr="00DB4498" w:rsidRDefault="00AC1819">
      <w:pPr>
        <w:pStyle w:val="normal0"/>
        <w:ind w:left="0"/>
        <w:contextualSpacing w:val="0"/>
      </w:pPr>
    </w:p>
    <w:p w:rsidR="00AC1819" w:rsidRPr="00DB4498" w:rsidRDefault="00DB4498">
      <w:pPr>
        <w:pStyle w:val="normal0"/>
        <w:contextualSpacing w:val="0"/>
      </w:pPr>
      <w:r w:rsidRPr="00DB4498">
        <w:rPr>
          <w:rFonts w:ascii="Arial" w:eastAsia="Arial" w:hAnsi="Arial" w:cs="Arial"/>
          <w:b/>
          <w:color w:val="1591FE"/>
          <w:sz w:val="48"/>
          <w:szCs w:val="48"/>
        </w:rPr>
        <w:t>Homelessness crisis close to home with Aussie rates among highest in the world</w:t>
      </w:r>
    </w:p>
    <w:p w:rsidR="00AC1819" w:rsidRDefault="00AC1819">
      <w:pPr>
        <w:pStyle w:val="normal0"/>
        <w:ind w:left="0"/>
        <w:contextualSpacing w:val="0"/>
      </w:pPr>
    </w:p>
    <w:tbl>
      <w:tblPr>
        <w:tblStyle w:val="a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AC1819">
        <w:tc>
          <w:tcPr>
            <w:tcW w:w="9915" w:type="dxa"/>
            <w:shd w:val="clear" w:color="auto" w:fill="E5E5E5"/>
            <w:tcMar>
              <w:top w:w="288" w:type="dxa"/>
              <w:left w:w="288" w:type="dxa"/>
              <w:bottom w:w="288" w:type="dxa"/>
              <w:right w:w="288" w:type="dxa"/>
            </w:tcMar>
          </w:tcPr>
          <w:p w:rsidR="00AC1819" w:rsidRDefault="00DB4498">
            <w:pPr>
              <w:pStyle w:val="normal0"/>
              <w:numPr>
                <w:ilvl w:val="0"/>
                <w:numId w:val="2"/>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Australia found to have 4th</w:t>
            </w:r>
            <w:r>
              <w:rPr>
                <w:rFonts w:ascii="Arial" w:eastAsia="Arial" w:hAnsi="Arial" w:cs="Arial"/>
                <w:color w:val="000000"/>
                <w:sz w:val="20"/>
                <w:szCs w:val="20"/>
              </w:rPr>
              <w:t xml:space="preserve"> highest homeless population out of 31 countries</w:t>
            </w:r>
          </w:p>
          <w:p w:rsidR="00AC1819" w:rsidRDefault="00DB4498">
            <w:pPr>
              <w:pStyle w:val="normal0"/>
              <w:numPr>
                <w:ilvl w:val="0"/>
                <w:numId w:val="2"/>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Property affordability has greatest correlation with homelessness </w:t>
            </w:r>
          </w:p>
          <w:p w:rsidR="00AC1819" w:rsidRDefault="00DB4498">
            <w:pPr>
              <w:pStyle w:val="normal0"/>
              <w:numPr>
                <w:ilvl w:val="0"/>
                <w:numId w:val="2"/>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Northern Territory has highest incidence of homelessness per state</w:t>
            </w:r>
          </w:p>
        </w:tc>
      </w:tr>
    </w:tbl>
    <w:p w:rsidR="00AC1819" w:rsidRDefault="00AC1819">
      <w:pPr>
        <w:pStyle w:val="normal0"/>
        <w:spacing w:line="240" w:lineRule="auto"/>
        <w:ind w:left="0"/>
        <w:contextualSpacing w:val="0"/>
      </w:pPr>
    </w:p>
    <w:p w:rsidR="00AC1819" w:rsidRDefault="00DB4498">
      <w:pPr>
        <w:pStyle w:val="normal0"/>
        <w:ind w:left="0"/>
        <w:contextualSpacing w:val="0"/>
      </w:pPr>
      <w:r>
        <w:rPr>
          <w:rFonts w:ascii="Arial" w:eastAsia="Arial" w:hAnsi="Arial" w:cs="Arial"/>
          <w:b/>
          <w:color w:val="000000"/>
        </w:rPr>
        <w:t>June 12, 2015, SYDNEY</w:t>
      </w:r>
      <w:r>
        <w:rPr>
          <w:rFonts w:ascii="Arial" w:eastAsia="Arial" w:hAnsi="Arial" w:cs="Arial"/>
          <w:color w:val="000000"/>
        </w:rPr>
        <w:t xml:space="preserve"> – </w:t>
      </w:r>
      <w:r>
        <w:rPr>
          <w:rFonts w:ascii="Arial" w:eastAsia="Arial" w:hAnsi="Arial" w:cs="Arial"/>
          <w:color w:val="000000"/>
          <w:sz w:val="22"/>
          <w:szCs w:val="22"/>
        </w:rPr>
        <w:t>Life on the streets is a frightening reality for 105,237 Australians, with Australia found to have the fourth highest percentage of homeless people as a proportion of total population, according to research by one of Australia’s biggest comparison websites</w:t>
      </w:r>
      <w:r>
        <w:rPr>
          <w:rFonts w:ascii="Arial" w:eastAsia="Arial" w:hAnsi="Arial" w:cs="Arial"/>
          <w:color w:val="000000"/>
          <w:sz w:val="22"/>
          <w:szCs w:val="22"/>
        </w:rPr>
        <w:t xml:space="preserve"> </w:t>
      </w:r>
      <w:hyperlink r:id="rId8">
        <w:r>
          <w:rPr>
            <w:rFonts w:ascii="Arial" w:eastAsia="Arial" w:hAnsi="Arial" w:cs="Arial"/>
            <w:color w:val="1155CC"/>
            <w:sz w:val="22"/>
            <w:szCs w:val="22"/>
            <w:u w:val="single"/>
          </w:rPr>
          <w:t>finder.com.au</w:t>
        </w:r>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rsidR="00AC1819" w:rsidRDefault="00DB4498">
      <w:pPr>
        <w:pStyle w:val="normal0"/>
        <w:ind w:left="0"/>
        <w:contextualSpacing w:val="0"/>
      </w:pPr>
      <w:r>
        <w:rPr>
          <w:rFonts w:ascii="Arial" w:eastAsia="Arial" w:hAnsi="Arial" w:cs="Arial"/>
          <w:color w:val="000000"/>
          <w:sz w:val="22"/>
          <w:szCs w:val="22"/>
        </w:rPr>
        <w:t xml:space="preserve"> </w:t>
      </w:r>
    </w:p>
    <w:p w:rsidR="00AC1819" w:rsidRDefault="00DB4498">
      <w:pPr>
        <w:pStyle w:val="normal0"/>
        <w:ind w:left="0"/>
        <w:contextualSpacing w:val="0"/>
      </w:pPr>
      <w:r>
        <w:rPr>
          <w:rFonts w:ascii="Arial" w:eastAsia="Arial" w:hAnsi="Arial" w:cs="Arial"/>
          <w:color w:val="000000"/>
          <w:sz w:val="22"/>
          <w:szCs w:val="22"/>
        </w:rPr>
        <w:t>An analysis of homelessness rates in 31</w:t>
      </w:r>
      <w:r>
        <w:rPr>
          <w:rFonts w:ascii="Arial" w:eastAsia="Arial" w:hAnsi="Arial" w:cs="Arial"/>
          <w:color w:val="000000"/>
          <w:sz w:val="22"/>
          <w:szCs w:val="22"/>
        </w:rPr>
        <w:t xml:space="preserve"> countries, from data sources that included UNICEF, The World Bank and The Human development Index 2014, revealed that, at 0.</w:t>
      </w:r>
      <w:r>
        <w:rPr>
          <w:rFonts w:ascii="Arial" w:eastAsia="Arial" w:hAnsi="Arial" w:cs="Arial"/>
          <w:color w:val="000000"/>
          <w:sz w:val="22"/>
          <w:szCs w:val="22"/>
        </w:rPr>
        <w:t xml:space="preserve">45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Australia has a higher percentage of homeless population than many developed countries including the United Kingdom, United States, France, Denmark and Hong Kong.</w:t>
      </w:r>
    </w:p>
    <w:p w:rsidR="00AC1819" w:rsidRDefault="00DB4498">
      <w:pPr>
        <w:pStyle w:val="normal0"/>
        <w:ind w:left="0"/>
        <w:contextualSpacing w:val="0"/>
      </w:pPr>
      <w:r>
        <w:rPr>
          <w:rFonts w:ascii="Arial" w:eastAsia="Arial" w:hAnsi="Arial" w:cs="Arial"/>
          <w:color w:val="000000"/>
          <w:sz w:val="22"/>
          <w:szCs w:val="22"/>
        </w:rPr>
        <w:t xml:space="preserve"> </w:t>
      </w:r>
    </w:p>
    <w:p w:rsidR="00AC1819" w:rsidRDefault="00DB4498">
      <w:pPr>
        <w:pStyle w:val="normal0"/>
        <w:ind w:left="0"/>
        <w:contextualSpacing w:val="0"/>
      </w:pPr>
      <w:r>
        <w:rPr>
          <w:rFonts w:ascii="Arial" w:eastAsia="Arial" w:hAnsi="Arial" w:cs="Arial"/>
          <w:color w:val="000000"/>
          <w:sz w:val="22"/>
          <w:szCs w:val="22"/>
        </w:rPr>
        <w:t>Only Germany</w:t>
      </w:r>
      <w:r>
        <w:rPr>
          <w:rFonts w:ascii="Arial" w:eastAsia="Arial" w:hAnsi="Arial" w:cs="Arial"/>
          <w:color w:val="000000"/>
          <w:sz w:val="22"/>
          <w:szCs w:val="22"/>
        </w:rPr>
        <w:t xml:space="preserve">, New Zealand and Canada were found to have a higher percentage </w:t>
      </w:r>
      <w:r>
        <w:rPr>
          <w:rFonts w:ascii="Arial" w:eastAsia="Arial" w:hAnsi="Arial" w:cs="Arial"/>
          <w:color w:val="000000"/>
          <w:sz w:val="22"/>
          <w:szCs w:val="22"/>
        </w:rPr>
        <w:t xml:space="preserve">of homeless population than Australia. In Germany, 1.08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the population is estimated to be homeless, followed by 0.73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the New Zealand population, and 0.66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the Canadian population</w:t>
      </w:r>
      <w:r>
        <w:rPr>
          <w:rFonts w:ascii="Arial" w:eastAsia="Arial" w:hAnsi="Arial" w:cs="Arial"/>
          <w:color w:val="000000"/>
          <w:sz w:val="22"/>
          <w:szCs w:val="22"/>
        </w:rPr>
        <w:t>.</w:t>
      </w:r>
    </w:p>
    <w:p w:rsidR="00AC1819" w:rsidRDefault="00DB4498">
      <w:pPr>
        <w:pStyle w:val="normal0"/>
        <w:ind w:left="0"/>
        <w:contextualSpacing w:val="0"/>
        <w:rPr>
          <w:rFonts w:ascii="Arial" w:eastAsia="Arial" w:hAnsi="Arial" w:cs="Arial"/>
          <w:color w:val="000000"/>
          <w:sz w:val="22"/>
          <w:szCs w:val="22"/>
        </w:rPr>
      </w:pPr>
      <w:r>
        <w:rPr>
          <w:rFonts w:ascii="Arial" w:eastAsia="Arial" w:hAnsi="Arial" w:cs="Arial"/>
          <w:color w:val="000000"/>
          <w:sz w:val="22"/>
          <w:szCs w:val="22"/>
        </w:rPr>
        <w:t xml:space="preserve"> </w:t>
      </w:r>
    </w:p>
    <w:p w:rsidR="00DB4498" w:rsidRDefault="00DB4498">
      <w:pPr>
        <w:pStyle w:val="normal0"/>
        <w:ind w:left="0"/>
        <w:contextualSpacing w:val="0"/>
        <w:rPr>
          <w:rFonts w:ascii="Arial" w:eastAsia="Arial" w:hAnsi="Arial" w:cs="Arial"/>
          <w:color w:val="000000"/>
          <w:sz w:val="22"/>
          <w:szCs w:val="22"/>
        </w:rPr>
      </w:pPr>
    </w:p>
    <w:p w:rsidR="00DB4498" w:rsidRDefault="00DB4498">
      <w:pPr>
        <w:pStyle w:val="normal0"/>
        <w:ind w:left="0"/>
        <w:contextualSpacing w:val="0"/>
        <w:rPr>
          <w:rFonts w:ascii="Arial" w:eastAsia="Arial" w:hAnsi="Arial" w:cs="Arial"/>
          <w:color w:val="000000"/>
          <w:sz w:val="22"/>
          <w:szCs w:val="22"/>
        </w:rPr>
      </w:pPr>
    </w:p>
    <w:p w:rsidR="00DB4498" w:rsidRDefault="00DB4498">
      <w:pPr>
        <w:pStyle w:val="normal0"/>
        <w:ind w:left="0"/>
        <w:contextualSpacing w:val="0"/>
        <w:rPr>
          <w:rFonts w:ascii="Arial" w:eastAsia="Arial" w:hAnsi="Arial" w:cs="Arial"/>
          <w:color w:val="000000"/>
          <w:sz w:val="22"/>
          <w:szCs w:val="22"/>
        </w:rPr>
      </w:pPr>
    </w:p>
    <w:p w:rsidR="00DB4498" w:rsidRDefault="00DB4498">
      <w:pPr>
        <w:pStyle w:val="normal0"/>
        <w:ind w:left="0"/>
        <w:contextualSpacing w:val="0"/>
      </w:pPr>
    </w:p>
    <w:p w:rsidR="00AC1819" w:rsidRDefault="00DB4498">
      <w:pPr>
        <w:pStyle w:val="normal0"/>
        <w:ind w:left="0"/>
        <w:contextualSpacing w:val="0"/>
      </w:pPr>
      <w:r>
        <w:rPr>
          <w:rFonts w:ascii="Arial" w:eastAsia="Arial" w:hAnsi="Arial" w:cs="Arial"/>
          <w:color w:val="000000"/>
          <w:sz w:val="22"/>
          <w:szCs w:val="22"/>
        </w:rPr>
        <w:t xml:space="preserve">The </w:t>
      </w:r>
      <w:hyperlink r:id="rId9">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research also found that Australia’s property affordability has the greatest correlation with homelessness, with Australia ranked the seventh most expensive country in terms of rental prices (indexed), and Australia’s Consumer Price</w:t>
      </w:r>
      <w:r>
        <w:rPr>
          <w:rFonts w:ascii="Arial" w:eastAsia="Arial" w:hAnsi="Arial" w:cs="Arial"/>
          <w:color w:val="000000"/>
          <w:sz w:val="22"/>
          <w:szCs w:val="22"/>
        </w:rPr>
        <w:t xml:space="preserve"> index (CPI) placing it as the fourth most expensive country to live in out of the 31 countries.</w:t>
      </w:r>
    </w:p>
    <w:p w:rsidR="00AC1819" w:rsidRDefault="00AC1819">
      <w:pPr>
        <w:pStyle w:val="normal0"/>
        <w:ind w:left="0"/>
        <w:contextualSpacing w:val="0"/>
      </w:pPr>
    </w:p>
    <w:p w:rsidR="00AC1819" w:rsidRDefault="00DB4498">
      <w:pPr>
        <w:pStyle w:val="normal0"/>
        <w:ind w:left="0"/>
        <w:contextualSpacing w:val="0"/>
      </w:pPr>
      <w:r>
        <w:rPr>
          <w:rFonts w:ascii="Arial" w:eastAsia="Arial" w:hAnsi="Arial" w:cs="Arial"/>
          <w:color w:val="000000"/>
          <w:sz w:val="22"/>
          <w:szCs w:val="22"/>
        </w:rPr>
        <w:t xml:space="preserve">Furthermore, a </w:t>
      </w:r>
      <w:proofErr w:type="gramStart"/>
      <w:r>
        <w:rPr>
          <w:rFonts w:ascii="Arial" w:eastAsia="Arial" w:hAnsi="Arial" w:cs="Arial"/>
          <w:color w:val="000000"/>
          <w:sz w:val="22"/>
          <w:szCs w:val="22"/>
        </w:rPr>
        <w:t>state by state</w:t>
      </w:r>
      <w:proofErr w:type="gramEnd"/>
      <w:r>
        <w:rPr>
          <w:rFonts w:ascii="Arial" w:eastAsia="Arial" w:hAnsi="Arial" w:cs="Arial"/>
          <w:color w:val="000000"/>
          <w:sz w:val="22"/>
          <w:szCs w:val="22"/>
        </w:rPr>
        <w:t xml:space="preserve"> analysis</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across Australia revealed that homelessness is rampant throughout the country, with the Northern Territory found to ha</w:t>
      </w:r>
      <w:r>
        <w:rPr>
          <w:rFonts w:ascii="Arial" w:eastAsia="Arial" w:hAnsi="Arial" w:cs="Arial"/>
          <w:color w:val="000000"/>
          <w:sz w:val="22"/>
          <w:szCs w:val="22"/>
        </w:rPr>
        <w:t xml:space="preserve">ve the highest incidence of homelessness by state. In fact, NT has 12-times more homeless people than the national average, with a staggering 6.53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its population. </w:t>
      </w:r>
      <w:proofErr w:type="gramStart"/>
      <w:r>
        <w:rPr>
          <w:rFonts w:ascii="Arial" w:eastAsia="Arial" w:hAnsi="Arial" w:cs="Arial"/>
          <w:color w:val="000000"/>
          <w:sz w:val="22"/>
          <w:szCs w:val="22"/>
        </w:rPr>
        <w:t>It’s followed by the Australian Capital Territory</w:t>
      </w:r>
      <w:proofErr w:type="gramEnd"/>
      <w:r>
        <w:rPr>
          <w:rFonts w:ascii="Arial" w:eastAsia="Arial" w:hAnsi="Arial" w:cs="Arial"/>
          <w:color w:val="000000"/>
          <w:sz w:val="22"/>
          <w:szCs w:val="22"/>
        </w:rPr>
        <w:t xml:space="preserve"> (0.47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Tasmania was the</w:t>
      </w:r>
      <w:r>
        <w:rPr>
          <w:rFonts w:ascii="Arial" w:eastAsia="Arial" w:hAnsi="Arial" w:cs="Arial"/>
          <w:color w:val="000000"/>
          <w:sz w:val="22"/>
          <w:szCs w:val="22"/>
        </w:rPr>
        <w:t xml:space="preserve"> state with the lowest incidence of homelessness (0.31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w:t>
      </w:r>
    </w:p>
    <w:p w:rsidR="00AC1819" w:rsidRDefault="00AC1819">
      <w:pPr>
        <w:pStyle w:val="normal0"/>
        <w:ind w:left="0"/>
        <w:contextualSpacing w:val="0"/>
      </w:pPr>
    </w:p>
    <w:p w:rsidR="00DB4498" w:rsidRDefault="00DB4498">
      <w:pPr>
        <w:pStyle w:val="normal0"/>
        <w:ind w:left="0"/>
        <w:contextualSpacing w:val="0"/>
      </w:pPr>
    </w:p>
    <w:p w:rsidR="00AC1819" w:rsidRDefault="00DB4498">
      <w:pPr>
        <w:pStyle w:val="normal0"/>
        <w:ind w:left="0"/>
        <w:contextualSpacing w:val="0"/>
      </w:pPr>
      <w:r>
        <w:rPr>
          <w:rFonts w:ascii="Arial" w:eastAsia="Arial" w:hAnsi="Arial" w:cs="Arial"/>
          <w:b/>
          <w:color w:val="262626"/>
          <w:sz w:val="22"/>
          <w:szCs w:val="22"/>
        </w:rPr>
        <w:t>State by</w:t>
      </w:r>
      <w:r>
        <w:rPr>
          <w:rFonts w:ascii="Arial" w:eastAsia="Arial" w:hAnsi="Arial" w:cs="Arial"/>
          <w:b/>
          <w:color w:val="262626"/>
          <w:sz w:val="22"/>
          <w:szCs w:val="22"/>
        </w:rPr>
        <w:t xml:space="preserve"> state</w:t>
      </w:r>
    </w:p>
    <w:tbl>
      <w:tblPr>
        <w:tblStyle w:val="a2"/>
        <w:tblW w:w="10275" w:type="dxa"/>
        <w:tblLayout w:type="fixed"/>
        <w:tblLook w:val="0600" w:firstRow="0" w:lastRow="0" w:firstColumn="0" w:lastColumn="0" w:noHBand="1" w:noVBand="1"/>
      </w:tblPr>
      <w:tblGrid>
        <w:gridCol w:w="2565"/>
        <w:gridCol w:w="4110"/>
        <w:gridCol w:w="1620"/>
        <w:gridCol w:w="1980"/>
      </w:tblGrid>
      <w:tr w:rsidR="00AC1819">
        <w:trPr>
          <w:trHeight w:val="480"/>
        </w:trPr>
        <w:tc>
          <w:tcPr>
            <w:tcW w:w="2565" w:type="dxa"/>
            <w:shd w:val="clear" w:color="auto" w:fill="18304B"/>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b/>
                <w:color w:val="FFFFFF"/>
                <w:sz w:val="22"/>
                <w:szCs w:val="22"/>
              </w:rPr>
              <w:t>State</w:t>
            </w:r>
          </w:p>
        </w:tc>
        <w:tc>
          <w:tcPr>
            <w:tcW w:w="4110" w:type="dxa"/>
            <w:shd w:val="clear" w:color="auto" w:fill="18304B"/>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b/>
                <w:color w:val="FFFFFF"/>
                <w:sz w:val="22"/>
                <w:szCs w:val="22"/>
              </w:rPr>
              <w:t xml:space="preserve">% </w:t>
            </w:r>
            <w:proofErr w:type="gramStart"/>
            <w:r>
              <w:rPr>
                <w:rFonts w:ascii="Arial" w:eastAsia="Arial" w:hAnsi="Arial" w:cs="Arial"/>
                <w:b/>
                <w:color w:val="FFFFFF"/>
                <w:sz w:val="22"/>
                <w:szCs w:val="22"/>
              </w:rPr>
              <w:t>of</w:t>
            </w:r>
            <w:proofErr w:type="gramEnd"/>
            <w:r>
              <w:rPr>
                <w:rFonts w:ascii="Arial" w:eastAsia="Arial" w:hAnsi="Arial" w:cs="Arial"/>
                <w:b/>
                <w:color w:val="FFFFFF"/>
                <w:sz w:val="22"/>
                <w:szCs w:val="22"/>
              </w:rPr>
              <w:t xml:space="preserve"> homeless as proportion of state’s population</w:t>
            </w:r>
          </w:p>
        </w:tc>
        <w:tc>
          <w:tcPr>
            <w:tcW w:w="1620" w:type="dxa"/>
            <w:shd w:val="clear" w:color="auto" w:fill="18304B"/>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b/>
                <w:color w:val="FFFFFF"/>
                <w:sz w:val="22"/>
                <w:szCs w:val="22"/>
              </w:rPr>
              <w:t>Number of homeless</w:t>
            </w:r>
          </w:p>
        </w:tc>
        <w:tc>
          <w:tcPr>
            <w:tcW w:w="1980" w:type="dxa"/>
            <w:shd w:val="clear" w:color="auto" w:fill="18304B"/>
            <w:tcMar>
              <w:top w:w="100" w:type="dxa"/>
              <w:left w:w="100" w:type="dxa"/>
              <w:bottom w:w="100" w:type="dxa"/>
              <w:right w:w="100" w:type="dxa"/>
            </w:tcMar>
          </w:tcPr>
          <w:p w:rsidR="00AC1819" w:rsidRDefault="00DB4498">
            <w:pPr>
              <w:pStyle w:val="normal0"/>
              <w:ind w:left="0"/>
              <w:contextualSpacing w:val="0"/>
              <w:jc w:val="right"/>
            </w:pPr>
            <w:r>
              <w:rPr>
                <w:noProof/>
                <w:lang w:val="en-US"/>
              </w:rPr>
              <w:drawing>
                <wp:inline distT="114300" distB="114300" distL="114300" distR="114300">
                  <wp:extent cx="661988" cy="21775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661988" cy="217759"/>
                          </a:xfrm>
                          <a:prstGeom prst="rect">
                            <a:avLst/>
                          </a:prstGeom>
                          <a:ln/>
                        </pic:spPr>
                      </pic:pic>
                    </a:graphicData>
                  </a:graphic>
                </wp:inline>
              </w:drawing>
            </w:r>
          </w:p>
        </w:tc>
      </w:tr>
      <w:tr w:rsidR="00AC1819">
        <w:tc>
          <w:tcPr>
            <w:tcW w:w="2565" w:type="dxa"/>
            <w:shd w:val="clear" w:color="auto" w:fill="E5E5E5"/>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Northern Territory</w:t>
            </w:r>
          </w:p>
        </w:tc>
        <w:tc>
          <w:tcPr>
            <w:tcW w:w="411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6.53%</w:t>
            </w:r>
          </w:p>
        </w:tc>
        <w:tc>
          <w:tcPr>
            <w:tcW w:w="162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15,479</w:t>
            </w:r>
          </w:p>
        </w:tc>
        <w:tc>
          <w:tcPr>
            <w:tcW w:w="1980" w:type="dxa"/>
            <w:shd w:val="clear" w:color="auto" w:fill="E5E5E5"/>
            <w:tcMar>
              <w:top w:w="100" w:type="dxa"/>
              <w:left w:w="100" w:type="dxa"/>
              <w:bottom w:w="100" w:type="dxa"/>
              <w:right w:w="100" w:type="dxa"/>
            </w:tcMar>
          </w:tcPr>
          <w:p w:rsidR="00AC1819" w:rsidRDefault="00AC1819">
            <w:pPr>
              <w:pStyle w:val="normal0"/>
              <w:ind w:left="0"/>
              <w:contextualSpacing w:val="0"/>
              <w:jc w:val="center"/>
            </w:pPr>
          </w:p>
        </w:tc>
      </w:tr>
      <w:tr w:rsidR="00AC1819">
        <w:tc>
          <w:tcPr>
            <w:tcW w:w="2565" w:type="dxa"/>
            <w:shd w:val="clear" w:color="auto" w:fill="D8D8D8"/>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Australian Capital Territory</w:t>
            </w:r>
          </w:p>
        </w:tc>
        <w:tc>
          <w:tcPr>
            <w:tcW w:w="411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0.47%</w:t>
            </w:r>
          </w:p>
        </w:tc>
        <w:tc>
          <w:tcPr>
            <w:tcW w:w="162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1,786</w:t>
            </w:r>
          </w:p>
        </w:tc>
        <w:tc>
          <w:tcPr>
            <w:tcW w:w="1980" w:type="dxa"/>
            <w:shd w:val="clear" w:color="auto" w:fill="D8D8D8"/>
            <w:tcMar>
              <w:top w:w="100" w:type="dxa"/>
              <w:left w:w="100" w:type="dxa"/>
              <w:bottom w:w="100" w:type="dxa"/>
              <w:right w:w="100" w:type="dxa"/>
            </w:tcMar>
          </w:tcPr>
          <w:p w:rsidR="00AC1819" w:rsidRDefault="00AC1819">
            <w:pPr>
              <w:pStyle w:val="normal0"/>
              <w:ind w:left="0"/>
              <w:contextualSpacing w:val="0"/>
              <w:jc w:val="center"/>
            </w:pPr>
          </w:p>
        </w:tc>
      </w:tr>
      <w:tr w:rsidR="00AC1819">
        <w:tc>
          <w:tcPr>
            <w:tcW w:w="2565" w:type="dxa"/>
            <w:shd w:val="clear" w:color="auto" w:fill="E5E5E5"/>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Queensland</w:t>
            </w:r>
          </w:p>
        </w:tc>
        <w:tc>
          <w:tcPr>
            <w:tcW w:w="411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0.43%</w:t>
            </w:r>
          </w:p>
        </w:tc>
        <w:tc>
          <w:tcPr>
            <w:tcW w:w="162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19,831</w:t>
            </w:r>
          </w:p>
        </w:tc>
        <w:tc>
          <w:tcPr>
            <w:tcW w:w="1980" w:type="dxa"/>
            <w:shd w:val="clear" w:color="auto" w:fill="E5E5E5"/>
            <w:tcMar>
              <w:top w:w="100" w:type="dxa"/>
              <w:left w:w="100" w:type="dxa"/>
              <w:bottom w:w="100" w:type="dxa"/>
              <w:right w:w="100" w:type="dxa"/>
            </w:tcMar>
          </w:tcPr>
          <w:p w:rsidR="00AC1819" w:rsidRDefault="00AC1819">
            <w:pPr>
              <w:pStyle w:val="normal0"/>
              <w:ind w:left="0"/>
              <w:contextualSpacing w:val="0"/>
              <w:jc w:val="center"/>
            </w:pPr>
          </w:p>
        </w:tc>
      </w:tr>
      <w:tr w:rsidR="00AC1819">
        <w:tc>
          <w:tcPr>
            <w:tcW w:w="2565" w:type="dxa"/>
            <w:shd w:val="clear" w:color="auto" w:fill="D8D8D8"/>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Victoria</w:t>
            </w:r>
          </w:p>
        </w:tc>
        <w:tc>
          <w:tcPr>
            <w:tcW w:w="411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0.40%</w:t>
            </w:r>
          </w:p>
        </w:tc>
        <w:tc>
          <w:tcPr>
            <w:tcW w:w="162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22,773</w:t>
            </w:r>
          </w:p>
        </w:tc>
        <w:tc>
          <w:tcPr>
            <w:tcW w:w="1980" w:type="dxa"/>
            <w:shd w:val="clear" w:color="auto" w:fill="D8D8D8"/>
            <w:tcMar>
              <w:top w:w="100" w:type="dxa"/>
              <w:left w:w="100" w:type="dxa"/>
              <w:bottom w:w="100" w:type="dxa"/>
              <w:right w:w="100" w:type="dxa"/>
            </w:tcMar>
          </w:tcPr>
          <w:p w:rsidR="00AC1819" w:rsidRDefault="00AC1819">
            <w:pPr>
              <w:pStyle w:val="normal0"/>
              <w:ind w:left="0"/>
              <w:contextualSpacing w:val="0"/>
              <w:jc w:val="center"/>
            </w:pPr>
          </w:p>
        </w:tc>
      </w:tr>
      <w:tr w:rsidR="00AC1819">
        <w:tc>
          <w:tcPr>
            <w:tcW w:w="2565" w:type="dxa"/>
            <w:shd w:val="clear" w:color="auto" w:fill="E5E5E5"/>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Western Australia</w:t>
            </w:r>
          </w:p>
        </w:tc>
        <w:tc>
          <w:tcPr>
            <w:tcW w:w="411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0.39%</w:t>
            </w:r>
          </w:p>
        </w:tc>
        <w:tc>
          <w:tcPr>
            <w:tcW w:w="162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9,595</w:t>
            </w:r>
          </w:p>
        </w:tc>
        <w:tc>
          <w:tcPr>
            <w:tcW w:w="1980" w:type="dxa"/>
            <w:shd w:val="clear" w:color="auto" w:fill="E5E5E5"/>
            <w:tcMar>
              <w:top w:w="100" w:type="dxa"/>
              <w:left w:w="100" w:type="dxa"/>
              <w:bottom w:w="100" w:type="dxa"/>
              <w:right w:w="100" w:type="dxa"/>
            </w:tcMar>
          </w:tcPr>
          <w:p w:rsidR="00AC1819" w:rsidRDefault="00AC1819">
            <w:pPr>
              <w:pStyle w:val="normal0"/>
              <w:ind w:left="0"/>
              <w:contextualSpacing w:val="0"/>
              <w:jc w:val="center"/>
            </w:pPr>
          </w:p>
        </w:tc>
      </w:tr>
      <w:tr w:rsidR="00AC1819">
        <w:tc>
          <w:tcPr>
            <w:tcW w:w="2565" w:type="dxa"/>
            <w:shd w:val="clear" w:color="auto" w:fill="D8D8D8"/>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New South Wales</w:t>
            </w:r>
          </w:p>
        </w:tc>
        <w:tc>
          <w:tcPr>
            <w:tcW w:w="411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0.38%</w:t>
            </w:r>
          </w:p>
        </w:tc>
        <w:tc>
          <w:tcPr>
            <w:tcW w:w="1620" w:type="dxa"/>
            <w:shd w:val="clear" w:color="auto" w:fill="D8D8D8"/>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28,191</w:t>
            </w:r>
          </w:p>
        </w:tc>
        <w:tc>
          <w:tcPr>
            <w:tcW w:w="1980" w:type="dxa"/>
            <w:shd w:val="clear" w:color="auto" w:fill="D8D8D8"/>
            <w:tcMar>
              <w:top w:w="100" w:type="dxa"/>
              <w:left w:w="100" w:type="dxa"/>
              <w:bottom w:w="100" w:type="dxa"/>
              <w:right w:w="100" w:type="dxa"/>
            </w:tcMar>
          </w:tcPr>
          <w:p w:rsidR="00AC1819" w:rsidRDefault="00AC1819">
            <w:pPr>
              <w:pStyle w:val="normal0"/>
              <w:ind w:left="0"/>
              <w:contextualSpacing w:val="0"/>
              <w:jc w:val="center"/>
            </w:pPr>
          </w:p>
        </w:tc>
      </w:tr>
      <w:tr w:rsidR="00AC1819">
        <w:trPr>
          <w:trHeight w:val="300"/>
        </w:trPr>
        <w:tc>
          <w:tcPr>
            <w:tcW w:w="2565" w:type="dxa"/>
            <w:shd w:val="clear" w:color="auto" w:fill="E5E5E5"/>
            <w:tcMar>
              <w:top w:w="100" w:type="dxa"/>
              <w:left w:w="100" w:type="dxa"/>
              <w:bottom w:w="100" w:type="dxa"/>
              <w:right w:w="100" w:type="dxa"/>
            </w:tcMar>
          </w:tcPr>
          <w:p w:rsidR="00AC1819" w:rsidRDefault="00DB4498">
            <w:pPr>
              <w:pStyle w:val="normal0"/>
              <w:ind w:left="0"/>
              <w:contextualSpacing w:val="0"/>
            </w:pPr>
            <w:r>
              <w:rPr>
                <w:rFonts w:ascii="Arial" w:eastAsia="Arial" w:hAnsi="Arial" w:cs="Arial"/>
                <w:b/>
                <w:color w:val="262626"/>
                <w:sz w:val="18"/>
                <w:szCs w:val="18"/>
              </w:rPr>
              <w:t>Tasmania</w:t>
            </w:r>
          </w:p>
        </w:tc>
        <w:tc>
          <w:tcPr>
            <w:tcW w:w="411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0.31%</w:t>
            </w:r>
          </w:p>
        </w:tc>
        <w:tc>
          <w:tcPr>
            <w:tcW w:w="1620" w:type="dxa"/>
            <w:shd w:val="clear" w:color="auto" w:fill="E5E5E5"/>
            <w:tcMar>
              <w:top w:w="100" w:type="dxa"/>
              <w:left w:w="100" w:type="dxa"/>
              <w:bottom w:w="100" w:type="dxa"/>
              <w:right w:w="100" w:type="dxa"/>
            </w:tcMar>
          </w:tcPr>
          <w:p w:rsidR="00AC1819" w:rsidRDefault="00DB4498">
            <w:pPr>
              <w:pStyle w:val="normal0"/>
              <w:ind w:left="0"/>
              <w:contextualSpacing w:val="0"/>
              <w:jc w:val="center"/>
            </w:pPr>
            <w:r>
              <w:rPr>
                <w:rFonts w:ascii="Arial" w:eastAsia="Arial" w:hAnsi="Arial" w:cs="Arial"/>
                <w:color w:val="262626"/>
                <w:sz w:val="18"/>
                <w:szCs w:val="18"/>
              </w:rPr>
              <w:t>1,579</w:t>
            </w:r>
          </w:p>
        </w:tc>
        <w:tc>
          <w:tcPr>
            <w:tcW w:w="1980" w:type="dxa"/>
            <w:shd w:val="clear" w:color="auto" w:fill="E5E5E5"/>
            <w:tcMar>
              <w:top w:w="100" w:type="dxa"/>
              <w:left w:w="100" w:type="dxa"/>
              <w:bottom w:w="100" w:type="dxa"/>
              <w:right w:w="100" w:type="dxa"/>
            </w:tcMar>
          </w:tcPr>
          <w:p w:rsidR="00AC1819" w:rsidRDefault="00AC1819">
            <w:pPr>
              <w:pStyle w:val="normal0"/>
              <w:ind w:left="0"/>
              <w:contextualSpacing w:val="0"/>
              <w:jc w:val="center"/>
            </w:pPr>
          </w:p>
        </w:tc>
      </w:tr>
    </w:tbl>
    <w:p w:rsidR="00AC1819" w:rsidRDefault="00DB4498">
      <w:pPr>
        <w:pStyle w:val="normal0"/>
        <w:ind w:left="0"/>
        <w:contextualSpacing w:val="0"/>
      </w:pPr>
      <w:r>
        <w:rPr>
          <w:rFonts w:ascii="Arial" w:eastAsia="Arial" w:hAnsi="Arial" w:cs="Arial"/>
          <w:color w:val="222222"/>
          <w:sz w:val="18"/>
          <w:szCs w:val="18"/>
        </w:rPr>
        <w:t xml:space="preserve">Source: </w:t>
      </w:r>
      <w:hyperlink r:id="rId11">
        <w:r>
          <w:rPr>
            <w:rFonts w:ascii="Arial" w:eastAsia="Arial" w:hAnsi="Arial" w:cs="Arial"/>
            <w:color w:val="1155CC"/>
            <w:sz w:val="18"/>
            <w:szCs w:val="18"/>
            <w:u w:val="single"/>
          </w:rPr>
          <w:t>finder.com.au</w:t>
        </w:r>
      </w:hyperlink>
      <w:r>
        <w:rPr>
          <w:rFonts w:ascii="Arial" w:eastAsia="Arial" w:hAnsi="Arial" w:cs="Arial"/>
          <w:color w:val="222222"/>
          <w:sz w:val="18"/>
          <w:szCs w:val="18"/>
        </w:rPr>
        <w:t>, Homelessness Australia, ranked by highest proportion</w:t>
      </w:r>
    </w:p>
    <w:p w:rsidR="00AC1819" w:rsidRDefault="00AC1819">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p>
    <w:p w:rsidR="00DB4498" w:rsidRDefault="00DB4498">
      <w:pPr>
        <w:pStyle w:val="normal0"/>
        <w:ind w:left="0"/>
        <w:contextualSpacing w:val="0"/>
      </w:pPr>
      <w:bookmarkStart w:id="0" w:name="_GoBack"/>
      <w:bookmarkEnd w:id="0"/>
    </w:p>
    <w:p w:rsidR="00AC1819" w:rsidRDefault="00DB4498">
      <w:pPr>
        <w:pStyle w:val="normal0"/>
        <w:ind w:left="0"/>
        <w:contextualSpacing w:val="0"/>
      </w:pPr>
      <w:r>
        <w:rPr>
          <w:rFonts w:ascii="Arial" w:eastAsia="Arial" w:hAnsi="Arial" w:cs="Arial"/>
          <w:color w:val="000000"/>
          <w:sz w:val="22"/>
          <w:szCs w:val="22"/>
        </w:rPr>
        <w:t xml:space="preserve"> </w:t>
      </w:r>
      <w:r>
        <w:rPr>
          <w:rFonts w:ascii="Arial" w:eastAsia="Arial" w:hAnsi="Arial" w:cs="Arial"/>
          <w:b/>
          <w:color w:val="000000"/>
          <w:sz w:val="22"/>
          <w:szCs w:val="22"/>
        </w:rPr>
        <w:t>State by state analysis:</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Victoria:</w:t>
      </w:r>
      <w:r>
        <w:rPr>
          <w:rFonts w:ascii="Arial" w:eastAsia="Arial" w:hAnsi="Arial" w:cs="Arial"/>
          <w:color w:val="000000"/>
          <w:sz w:val="22"/>
          <w:szCs w:val="22"/>
        </w:rPr>
        <w:t xml:space="preserve"> VIC held the highest proportion of homeless people in the 19 to 44 year-old age bracket (51%)</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 xml:space="preserve">New South Wales: </w:t>
      </w:r>
      <w:r>
        <w:rPr>
          <w:rFonts w:ascii="Arial" w:eastAsia="Arial" w:hAnsi="Arial" w:cs="Arial"/>
          <w:color w:val="000000"/>
          <w:sz w:val="22"/>
          <w:szCs w:val="22"/>
        </w:rPr>
        <w:t>More homeless people in NSW than other states (28,191), and the highest proportion of over 45 year-olds homeless than any other state (30%), and retirement age (7%)</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Tasmania:</w:t>
      </w:r>
      <w:r>
        <w:rPr>
          <w:rFonts w:ascii="Arial" w:eastAsia="Arial" w:hAnsi="Arial" w:cs="Arial"/>
          <w:color w:val="000000"/>
          <w:sz w:val="22"/>
          <w:szCs w:val="22"/>
        </w:rPr>
        <w:t xml:space="preserve"> The lowest incidence of homelessness by state (0.31% of population)</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Western Austr</w:t>
      </w:r>
      <w:r>
        <w:rPr>
          <w:rFonts w:ascii="Arial" w:eastAsia="Arial" w:hAnsi="Arial" w:cs="Arial"/>
          <w:b/>
          <w:color w:val="000000"/>
          <w:sz w:val="22"/>
          <w:szCs w:val="22"/>
        </w:rPr>
        <w:t>alia:</w:t>
      </w:r>
      <w:r>
        <w:rPr>
          <w:rFonts w:ascii="Arial" w:eastAsia="Arial" w:hAnsi="Arial" w:cs="Arial"/>
          <w:color w:val="000000"/>
          <w:sz w:val="22"/>
          <w:szCs w:val="22"/>
        </w:rPr>
        <w:t xml:space="preserve"> The highest proportion of people where financial difficulty is the major reason for homelessness (28%)</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 xml:space="preserve">Northern Territory: </w:t>
      </w:r>
      <w:r>
        <w:rPr>
          <w:rFonts w:ascii="Arial" w:eastAsia="Arial" w:hAnsi="Arial" w:cs="Arial"/>
          <w:color w:val="000000"/>
          <w:sz w:val="22"/>
          <w:szCs w:val="22"/>
        </w:rPr>
        <w:t>The highest incidence of homelessness by state (6.53% of its population) and the highest rate of cause of homelessness associat</w:t>
      </w:r>
      <w:r>
        <w:rPr>
          <w:rFonts w:ascii="Arial" w:eastAsia="Arial" w:hAnsi="Arial" w:cs="Arial"/>
          <w:color w:val="000000"/>
          <w:sz w:val="22"/>
          <w:szCs w:val="22"/>
        </w:rPr>
        <w:t>ed with domestic violence and relationship issues (44%)</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 xml:space="preserve">South Australia: </w:t>
      </w:r>
      <w:r>
        <w:rPr>
          <w:rFonts w:ascii="Arial" w:eastAsia="Arial" w:hAnsi="Arial" w:cs="Arial"/>
          <w:color w:val="000000"/>
          <w:sz w:val="22"/>
          <w:szCs w:val="22"/>
        </w:rPr>
        <w:t>The top reason for homelessness is accommodation issues (42%)</w:t>
      </w:r>
    </w:p>
    <w:p w:rsidR="00AC1819" w:rsidRDefault="00DB4498">
      <w:pPr>
        <w:pStyle w:val="normal0"/>
        <w:numPr>
          <w:ilvl w:val="0"/>
          <w:numId w:val="1"/>
        </w:numPr>
        <w:ind w:hanging="360"/>
        <w:rPr>
          <w:rFonts w:ascii="Arial" w:eastAsia="Arial" w:hAnsi="Arial" w:cs="Arial"/>
          <w:color w:val="000000"/>
          <w:sz w:val="22"/>
          <w:szCs w:val="22"/>
        </w:rPr>
      </w:pPr>
      <w:r>
        <w:rPr>
          <w:rFonts w:ascii="Arial" w:eastAsia="Arial" w:hAnsi="Arial" w:cs="Arial"/>
          <w:b/>
          <w:color w:val="000000"/>
          <w:sz w:val="22"/>
          <w:szCs w:val="22"/>
        </w:rPr>
        <w:t>ACT:</w:t>
      </w:r>
      <w:r>
        <w:rPr>
          <w:rFonts w:ascii="Arial" w:eastAsia="Arial" w:hAnsi="Arial" w:cs="Arial"/>
          <w:color w:val="000000"/>
          <w:sz w:val="22"/>
          <w:szCs w:val="22"/>
        </w:rPr>
        <w:t xml:space="preserve"> Second-highest incidence of homelessness by state (0.47% of population)</w:t>
      </w:r>
    </w:p>
    <w:p w:rsidR="00AC1819" w:rsidRDefault="00DB4498">
      <w:pPr>
        <w:pStyle w:val="normal0"/>
        <w:ind w:left="0"/>
        <w:contextualSpacing w:val="0"/>
      </w:pPr>
      <w:r>
        <w:rPr>
          <w:rFonts w:ascii="Arial" w:eastAsia="Arial" w:hAnsi="Arial" w:cs="Arial"/>
          <w:color w:val="000000"/>
          <w:sz w:val="22"/>
          <w:szCs w:val="22"/>
        </w:rPr>
        <w:t xml:space="preserve"> </w:t>
      </w:r>
    </w:p>
    <w:p w:rsidR="00AC1819" w:rsidRDefault="00DB4498">
      <w:pPr>
        <w:pStyle w:val="normal0"/>
        <w:ind w:left="0"/>
        <w:contextualSpacing w:val="0"/>
      </w:pPr>
      <w:r>
        <w:rPr>
          <w:rFonts w:ascii="Arial" w:eastAsia="Arial" w:hAnsi="Arial" w:cs="Arial"/>
          <w:color w:val="000000"/>
          <w:sz w:val="22"/>
          <w:szCs w:val="22"/>
        </w:rPr>
        <w:t>Fred Schebesta, co-founder and director of</w:t>
      </w:r>
      <w:r>
        <w:rPr>
          <w:rFonts w:ascii="Arial" w:eastAsia="Arial" w:hAnsi="Arial" w:cs="Arial"/>
          <w:color w:val="000000"/>
          <w:sz w:val="22"/>
          <w:szCs w:val="22"/>
        </w:rPr>
        <w:t xml:space="preserve"> </w:t>
      </w:r>
      <w:hyperlink r:id="rId12">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said these alarming statistics contributed to his decision to sign up for the </w:t>
      </w:r>
      <w:proofErr w:type="spellStart"/>
      <w:r>
        <w:rPr>
          <w:rFonts w:ascii="Arial" w:eastAsia="Arial" w:hAnsi="Arial" w:cs="Arial"/>
          <w:color w:val="000000"/>
          <w:sz w:val="22"/>
          <w:szCs w:val="22"/>
        </w:rPr>
        <w:t>Vinnies</w:t>
      </w:r>
      <w:proofErr w:type="spellEnd"/>
      <w:r>
        <w:rPr>
          <w:rFonts w:ascii="Arial" w:eastAsia="Arial" w:hAnsi="Arial" w:cs="Arial"/>
          <w:color w:val="000000"/>
          <w:sz w:val="22"/>
          <w:szCs w:val="22"/>
        </w:rPr>
        <w:t xml:space="preserve"> CEO </w:t>
      </w:r>
      <w:proofErr w:type="spellStart"/>
      <w:r>
        <w:rPr>
          <w:rFonts w:ascii="Arial" w:eastAsia="Arial" w:hAnsi="Arial" w:cs="Arial"/>
          <w:color w:val="000000"/>
          <w:sz w:val="22"/>
          <w:szCs w:val="22"/>
        </w:rPr>
        <w:t>Sleepout</w:t>
      </w:r>
      <w:proofErr w:type="spellEnd"/>
      <w:r>
        <w:rPr>
          <w:rFonts w:ascii="Arial" w:eastAsia="Arial" w:hAnsi="Arial" w:cs="Arial"/>
          <w:color w:val="000000"/>
          <w:sz w:val="22"/>
          <w:szCs w:val="22"/>
        </w:rPr>
        <w:t xml:space="preserve"> on Thursday June 18, 2015, to tackle homelessness in Australia.</w:t>
      </w:r>
    </w:p>
    <w:p w:rsidR="00AC1819" w:rsidRDefault="00AC1819">
      <w:pPr>
        <w:pStyle w:val="normal0"/>
        <w:ind w:left="0"/>
        <w:contextualSpacing w:val="0"/>
      </w:pPr>
    </w:p>
    <w:p w:rsidR="00AC1819" w:rsidRDefault="00DB4498">
      <w:pPr>
        <w:pStyle w:val="normal0"/>
        <w:ind w:left="0"/>
        <w:contextualSpacing w:val="0"/>
      </w:pPr>
      <w:r>
        <w:rPr>
          <w:rFonts w:ascii="Arial" w:eastAsia="Arial" w:hAnsi="Arial" w:cs="Arial"/>
          <w:color w:val="000000"/>
          <w:sz w:val="22"/>
          <w:szCs w:val="22"/>
        </w:rPr>
        <w:t xml:space="preserve">“A couple of years ago, the </w:t>
      </w:r>
      <w:hyperlink r:id="rId13">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team and I slept out on George Street for four days in anticipation of the iPhone 5 launch. This gave me a personal taste of what it’s really like for the 105,000 Aussies, including 28,000 kids, who a</w:t>
      </w:r>
      <w:r>
        <w:rPr>
          <w:rFonts w:ascii="Arial" w:eastAsia="Arial" w:hAnsi="Arial" w:cs="Arial"/>
          <w:color w:val="000000"/>
          <w:sz w:val="22"/>
          <w:szCs w:val="22"/>
        </w:rPr>
        <w:t xml:space="preserve">re homeless right now: rough, cold, dangerous, noisy and intense,” said Mr Schebesta. “But I’ll gladly do it again to raise money for those in need of somewhere warm and safe to sleep. </w:t>
      </w:r>
    </w:p>
    <w:p w:rsidR="00AC1819" w:rsidRDefault="00AC1819">
      <w:pPr>
        <w:pStyle w:val="normal0"/>
        <w:ind w:left="0"/>
        <w:contextualSpacing w:val="0"/>
      </w:pPr>
    </w:p>
    <w:p w:rsidR="00AC1819" w:rsidRDefault="00DB4498">
      <w:pPr>
        <w:pStyle w:val="normal0"/>
        <w:ind w:left="0"/>
        <w:contextualSpacing w:val="0"/>
      </w:pPr>
      <w:r>
        <w:rPr>
          <w:rFonts w:ascii="Arial" w:eastAsia="Arial" w:hAnsi="Arial" w:cs="Arial"/>
          <w:color w:val="000000"/>
          <w:sz w:val="22"/>
          <w:szCs w:val="22"/>
        </w:rPr>
        <w:t>“Interestingly, both property affordability and homelessness in Austr</w:t>
      </w:r>
      <w:r>
        <w:rPr>
          <w:rFonts w:ascii="Arial" w:eastAsia="Arial" w:hAnsi="Arial" w:cs="Arial"/>
          <w:color w:val="000000"/>
          <w:sz w:val="22"/>
          <w:szCs w:val="22"/>
        </w:rPr>
        <w:t>alia are contentious issues for many Australians. While property prices may be out of our control, homelessness is one of the causes we can collectively make a difference to. It’s a confronting reality but that just reiterates the need to stand up and do s</w:t>
      </w:r>
      <w:r>
        <w:rPr>
          <w:rFonts w:ascii="Arial" w:eastAsia="Arial" w:hAnsi="Arial" w:cs="Arial"/>
          <w:color w:val="000000"/>
          <w:sz w:val="22"/>
          <w:szCs w:val="22"/>
        </w:rPr>
        <w:t>omething about homelessness in Australia. I hope you, too, will get behind the cause and help make a real difference to the lives of these people.”</w:t>
      </w:r>
    </w:p>
    <w:p w:rsidR="00AC1819" w:rsidRDefault="00AC1819">
      <w:pPr>
        <w:pStyle w:val="normal0"/>
        <w:ind w:left="0"/>
        <w:contextualSpacing w:val="0"/>
      </w:pPr>
    </w:p>
    <w:p w:rsidR="00AC1819" w:rsidRDefault="00DB4498">
      <w:pPr>
        <w:pStyle w:val="normal0"/>
        <w:ind w:left="0"/>
        <w:contextualSpacing w:val="0"/>
      </w:pPr>
      <w:hyperlink r:id="rId14">
        <w:proofErr w:type="gramStart"/>
        <w:r>
          <w:rPr>
            <w:rFonts w:ascii="Arial" w:eastAsia="Arial" w:hAnsi="Arial" w:cs="Arial"/>
            <w:color w:val="1155CC"/>
            <w:sz w:val="22"/>
            <w:szCs w:val="22"/>
            <w:u w:val="single"/>
          </w:rPr>
          <w:t>finder.com.au</w:t>
        </w:r>
        <w:proofErr w:type="gramEnd"/>
      </w:hyperlink>
      <w:r>
        <w:rPr>
          <w:rFonts w:ascii="Arial" w:eastAsia="Arial" w:hAnsi="Arial" w:cs="Arial"/>
          <w:color w:val="000000"/>
          <w:sz w:val="22"/>
          <w:szCs w:val="22"/>
        </w:rPr>
        <w:t xml:space="preserve"> will be raising funds for the </w:t>
      </w:r>
      <w:proofErr w:type="spellStart"/>
      <w:r>
        <w:rPr>
          <w:rFonts w:ascii="Arial" w:eastAsia="Arial" w:hAnsi="Arial" w:cs="Arial"/>
          <w:color w:val="000000"/>
          <w:sz w:val="22"/>
          <w:szCs w:val="22"/>
        </w:rPr>
        <w:t>Vinnies</w:t>
      </w:r>
      <w:proofErr w:type="spellEnd"/>
      <w:r>
        <w:rPr>
          <w:rFonts w:ascii="Arial" w:eastAsia="Arial" w:hAnsi="Arial" w:cs="Arial"/>
          <w:color w:val="000000"/>
          <w:sz w:val="22"/>
          <w:szCs w:val="22"/>
        </w:rPr>
        <w:t xml:space="preserve"> CEO </w:t>
      </w:r>
      <w:proofErr w:type="spellStart"/>
      <w:r>
        <w:rPr>
          <w:rFonts w:ascii="Arial" w:eastAsia="Arial" w:hAnsi="Arial" w:cs="Arial"/>
          <w:color w:val="000000"/>
          <w:sz w:val="22"/>
          <w:szCs w:val="22"/>
        </w:rPr>
        <w:t>Sleepo</w:t>
      </w:r>
      <w:r>
        <w:rPr>
          <w:rFonts w:ascii="Arial" w:eastAsia="Arial" w:hAnsi="Arial" w:cs="Arial"/>
          <w:color w:val="000000"/>
          <w:sz w:val="22"/>
          <w:szCs w:val="22"/>
        </w:rPr>
        <w:t>ut</w:t>
      </w:r>
      <w:proofErr w:type="spellEnd"/>
      <w:r>
        <w:rPr>
          <w:rFonts w:ascii="Arial" w:eastAsia="Arial" w:hAnsi="Arial" w:cs="Arial"/>
          <w:color w:val="000000"/>
          <w:sz w:val="22"/>
          <w:szCs w:val="22"/>
        </w:rPr>
        <w:t xml:space="preserve"> at a charity business networking event in Sydney on Tuesday June 16, 2015. Mr Fred Schebesta will present ‘How to growth hack your business to success’ and will auction off his digital marketing expertise to businesses in attendance. </w:t>
      </w:r>
      <w:hyperlink r:id="rId15">
        <w:r>
          <w:rPr>
            <w:rFonts w:ascii="Arial" w:eastAsia="Arial" w:hAnsi="Arial" w:cs="Arial"/>
            <w:color w:val="1155CC"/>
            <w:sz w:val="22"/>
            <w:szCs w:val="22"/>
            <w:u w:val="single"/>
          </w:rPr>
          <w:t>Find out more and buy your ticket</w:t>
        </w:r>
      </w:hyperlink>
      <w:r>
        <w:rPr>
          <w:rFonts w:ascii="Arial" w:eastAsia="Arial" w:hAnsi="Arial" w:cs="Arial"/>
          <w:color w:val="000000"/>
          <w:sz w:val="22"/>
          <w:szCs w:val="22"/>
        </w:rPr>
        <w:t xml:space="preserve"> or </w:t>
      </w:r>
      <w:hyperlink r:id="rId16">
        <w:r>
          <w:rPr>
            <w:rFonts w:ascii="Arial" w:eastAsia="Arial" w:hAnsi="Arial" w:cs="Arial"/>
            <w:color w:val="1155CC"/>
            <w:sz w:val="22"/>
            <w:szCs w:val="22"/>
            <w:u w:val="single"/>
          </w:rPr>
          <w:t>d</w:t>
        </w:r>
        <w:r>
          <w:rPr>
            <w:rFonts w:ascii="Arial" w:eastAsia="Arial" w:hAnsi="Arial" w:cs="Arial"/>
            <w:color w:val="1155CC"/>
            <w:sz w:val="22"/>
            <w:szCs w:val="22"/>
            <w:u w:val="single"/>
          </w:rPr>
          <w:t>onate to the cause</w:t>
        </w:r>
      </w:hyperlink>
      <w:r>
        <w:rPr>
          <w:rFonts w:ascii="Arial" w:eastAsia="Arial" w:hAnsi="Arial" w:cs="Arial"/>
          <w:color w:val="000000"/>
          <w:sz w:val="22"/>
          <w:szCs w:val="22"/>
        </w:rPr>
        <w:t>.</w:t>
      </w:r>
    </w:p>
    <w:p w:rsidR="00AC1819" w:rsidRDefault="00AC1819">
      <w:pPr>
        <w:pStyle w:val="normal0"/>
        <w:spacing w:line="240" w:lineRule="auto"/>
        <w:ind w:left="0"/>
        <w:contextualSpacing w:val="0"/>
      </w:pPr>
    </w:p>
    <w:p w:rsidR="00AC1819" w:rsidRDefault="00AC1819">
      <w:pPr>
        <w:pStyle w:val="normal0"/>
        <w:spacing w:line="240" w:lineRule="auto"/>
        <w:ind w:left="0"/>
        <w:contextualSpacing w:val="0"/>
      </w:pPr>
    </w:p>
    <w:p w:rsidR="00AC1819" w:rsidRDefault="00DB4498">
      <w:pPr>
        <w:pStyle w:val="normal0"/>
        <w:spacing w:line="240" w:lineRule="auto"/>
        <w:ind w:left="0"/>
        <w:contextualSpacing w:val="0"/>
      </w:pPr>
      <w:r>
        <w:rPr>
          <w:rFonts w:ascii="Arial" w:eastAsia="Arial" w:hAnsi="Arial" w:cs="Arial"/>
          <w:color w:val="777777"/>
          <w:sz w:val="28"/>
          <w:szCs w:val="28"/>
        </w:rPr>
        <w:t>###</w:t>
      </w:r>
    </w:p>
    <w:p w:rsidR="00AC1819" w:rsidRDefault="00AC1819">
      <w:pPr>
        <w:pStyle w:val="normal0"/>
        <w:ind w:left="0"/>
        <w:contextualSpacing w:val="0"/>
      </w:pPr>
    </w:p>
    <w:p w:rsidR="00AC1819" w:rsidRDefault="00AC1819">
      <w:pPr>
        <w:pStyle w:val="normal0"/>
        <w:ind w:left="0"/>
        <w:contextualSpacing w:val="0"/>
      </w:pPr>
    </w:p>
    <w:p w:rsidR="00AC1819" w:rsidRDefault="00DB4498">
      <w:pPr>
        <w:pStyle w:val="normal0"/>
        <w:ind w:left="0"/>
        <w:contextualSpacing w:val="0"/>
      </w:pPr>
      <w:r>
        <w:rPr>
          <w:rFonts w:ascii="Arial" w:eastAsia="Arial" w:hAnsi="Arial" w:cs="Arial"/>
          <w:b/>
          <w:color w:val="777777"/>
          <w:sz w:val="28"/>
          <w:szCs w:val="28"/>
        </w:rPr>
        <w:t>For further information:</w:t>
      </w:r>
    </w:p>
    <w:p w:rsidR="00AC1819" w:rsidRDefault="00DB4498">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AC1819" w:rsidRDefault="00DB4498">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AC1819" w:rsidRDefault="00DB4498">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AC1819" w:rsidRDefault="00DB4498">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AC1819" w:rsidRDefault="00DB4498">
      <w:pPr>
        <w:pStyle w:val="Heading4"/>
        <w:spacing w:before="0" w:after="0"/>
        <w:ind w:left="0"/>
        <w:contextualSpacing w:val="0"/>
      </w:pPr>
      <w:bookmarkStart w:id="1" w:name="h.ylu2s8r5z1hh" w:colFirst="0" w:colLast="0"/>
      <w:bookmarkEnd w:id="1"/>
      <w:r>
        <w:rPr>
          <w:rFonts w:ascii="Arial" w:eastAsia="Arial" w:hAnsi="Arial" w:cs="Arial"/>
          <w:color w:val="777777"/>
          <w:sz w:val="20"/>
          <w:szCs w:val="20"/>
        </w:rPr>
        <w:t>+61 2 9299 7602</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+ 2 9299 7602</w:t>
      </w:r>
    </w:p>
    <w:p w:rsidR="00AC1819" w:rsidRDefault="00DB4498">
      <w:pPr>
        <w:pStyle w:val="normal0"/>
        <w:contextualSpacing w:val="0"/>
      </w:pPr>
      <w:hyperlink r:id="rId17">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8">
        <w:r>
          <w:rPr>
            <w:rFonts w:ascii="Arial" w:eastAsia="Arial" w:hAnsi="Arial" w:cs="Arial"/>
            <w:color w:val="777777"/>
            <w:sz w:val="20"/>
            <w:szCs w:val="20"/>
            <w:u w:val="single"/>
          </w:rPr>
          <w:t>Bessie@finder.com.au</w:t>
        </w:r>
      </w:hyperlink>
    </w:p>
    <w:p w:rsidR="00AC1819" w:rsidRDefault="00AC1819">
      <w:pPr>
        <w:pStyle w:val="normal0"/>
        <w:spacing w:line="240" w:lineRule="auto"/>
        <w:ind w:left="0"/>
        <w:contextualSpacing w:val="0"/>
      </w:pPr>
    </w:p>
    <w:p w:rsidR="00AC1819" w:rsidRDefault="00DB4498">
      <w:pPr>
        <w:pStyle w:val="normal0"/>
        <w:spacing w:line="240" w:lineRule="auto"/>
        <w:contextualSpacing w:val="0"/>
      </w:pPr>
      <w:r>
        <w:rPr>
          <w:rFonts w:ascii="Arial" w:eastAsia="Arial" w:hAnsi="Arial" w:cs="Arial"/>
          <w:b/>
          <w:color w:val="777777"/>
          <w:sz w:val="18"/>
          <w:szCs w:val="18"/>
        </w:rPr>
        <w:t>About finder.com.au:</w:t>
      </w:r>
    </w:p>
    <w:p w:rsidR="00AC1819" w:rsidRDefault="00DB4498">
      <w:pPr>
        <w:pStyle w:val="normal0"/>
        <w:contextualSpacing w:val="0"/>
      </w:pPr>
      <w:hyperlink r:id="rId19">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w:t>
      </w:r>
      <w:r>
        <w:rPr>
          <w:rFonts w:ascii="Arial" w:eastAsia="Arial" w:hAnsi="Arial" w:cs="Arial"/>
          <w:i/>
          <w:color w:val="777777"/>
          <w:sz w:val="18"/>
          <w:szCs w:val="18"/>
        </w:rPr>
        <w:t xml:space="preserv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over 300 home loan products, a</w:t>
      </w:r>
      <w:r>
        <w:rPr>
          <w:rFonts w:ascii="Arial" w:eastAsia="Arial" w:hAnsi="Arial" w:cs="Arial"/>
          <w:i/>
          <w:color w:val="777777"/>
          <w:sz w:val="18"/>
          <w:szCs w:val="18"/>
        </w:rPr>
        <w:t>nd information from 13 life insurance providers as well as online shopping promo codes, mobile phone plans, travel insurance and more. One Australian every five minutes is using</w:t>
      </w:r>
      <w:hyperlink r:id="rId20">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w:t>
      </w:r>
      <w:r>
        <w:rPr>
          <w:rFonts w:ascii="Arial" w:eastAsia="Arial" w:hAnsi="Arial" w:cs="Arial"/>
          <w:i/>
          <w:color w:val="777777"/>
          <w:sz w:val="18"/>
          <w:szCs w:val="18"/>
        </w:rPr>
        <w:t>k sites</w:t>
      </w:r>
      <w:hyperlink r:id="rId21">
        <w:r>
          <w:rPr>
            <w:rFonts w:ascii="Arial" w:eastAsia="Arial" w:hAnsi="Arial" w:cs="Arial"/>
            <w:i/>
            <w:color w:val="777777"/>
            <w:sz w:val="18"/>
            <w:szCs w:val="18"/>
          </w:rPr>
          <w:t xml:space="preserve"> </w:t>
        </w:r>
      </w:hyperlink>
      <w:hyperlink r:id="rId22">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23">
        <w:r>
          <w:rPr>
            <w:rFonts w:ascii="Arial" w:eastAsia="Arial" w:hAnsi="Arial" w:cs="Arial"/>
            <w:i/>
            <w:color w:val="777777"/>
            <w:sz w:val="18"/>
            <w:szCs w:val="18"/>
          </w:rPr>
          <w:t xml:space="preserve"> </w:t>
        </w:r>
      </w:hyperlink>
      <w:hyperlink r:id="rId24">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AC1819" w:rsidRDefault="00AC1819">
      <w:pPr>
        <w:pStyle w:val="normal0"/>
        <w:contextualSpacing w:val="0"/>
      </w:pPr>
    </w:p>
    <w:p w:rsidR="00AC1819" w:rsidRDefault="00DB4498">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AC1819" w:rsidRDefault="00DB4498">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w:t>
      </w:r>
      <w:r>
        <w:rPr>
          <w:rFonts w:ascii="Arial" w:eastAsia="Arial" w:hAnsi="Arial" w:cs="Arial"/>
          <w:i/>
          <w:color w:val="777777"/>
          <w:sz w:val="18"/>
          <w:szCs w:val="18"/>
        </w:rPr>
        <w:t xml:space="preserve"> services on financial products as a Corporate Authorised Representative (432664) of Advice Evolution Pty Ltd AFSL 342880. Please refer to our </w:t>
      </w:r>
      <w:hyperlink r:id="rId25">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w:t>
      </w:r>
      <w:r>
        <w:rPr>
          <w:rFonts w:ascii="Arial" w:eastAsia="Arial" w:hAnsi="Arial" w:cs="Arial"/>
          <w:i/>
          <w:color w:val="777777"/>
          <w:sz w:val="18"/>
          <w:szCs w:val="18"/>
        </w:rPr>
        <w:t xml:space="preserve">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w:t>
      </w:r>
      <w:r>
        <w:rPr>
          <w:rFonts w:ascii="Arial" w:eastAsia="Arial" w:hAnsi="Arial" w:cs="Arial"/>
          <w:i/>
          <w:color w:val="777777"/>
          <w:sz w:val="18"/>
          <w:szCs w:val="18"/>
        </w:rPr>
        <w:t>roduct issuer or a credit provider. Although we cover a wide range of products, providers and services we don't cover every product, provider or service available in the market. We also don't recommend specific products, services or providers. If you decid</w:t>
      </w:r>
      <w:r>
        <w:rPr>
          <w:rFonts w:ascii="Arial" w:eastAsia="Arial" w:hAnsi="Arial" w:cs="Arial"/>
          <w:i/>
          <w:color w:val="777777"/>
          <w:sz w:val="18"/>
          <w:szCs w:val="18"/>
        </w:rPr>
        <w:t>e to apply for a product or service through our website you will be dealing directly with the provider of that product or service and not with us. We recommend consumers understand the Product Disclosure Statements before deciding if a product is right for</w:t>
      </w:r>
      <w:r>
        <w:rPr>
          <w:rFonts w:ascii="Arial" w:eastAsia="Arial" w:hAnsi="Arial" w:cs="Arial"/>
          <w:i/>
          <w:color w:val="777777"/>
          <w:sz w:val="18"/>
          <w:szCs w:val="18"/>
        </w:rPr>
        <w:t xml:space="preserve"> them (c) 2013.</w:t>
      </w:r>
    </w:p>
    <w:sectPr w:rsidR="00AC1819">
      <w:headerReference w:type="default" r:id="rId26"/>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4498">
      <w:pPr>
        <w:spacing w:line="240" w:lineRule="auto"/>
      </w:pPr>
      <w:r>
        <w:separator/>
      </w:r>
    </w:p>
  </w:endnote>
  <w:endnote w:type="continuationSeparator" w:id="0">
    <w:p w:rsidR="00000000" w:rsidRDefault="00DB4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4498">
      <w:pPr>
        <w:spacing w:line="240" w:lineRule="auto"/>
      </w:pPr>
      <w:r>
        <w:separator/>
      </w:r>
    </w:p>
  </w:footnote>
  <w:footnote w:type="continuationSeparator" w:id="0">
    <w:p w:rsidR="00000000" w:rsidRDefault="00DB4498">
      <w:pPr>
        <w:spacing w:line="240" w:lineRule="auto"/>
      </w:pPr>
      <w:r>
        <w:continuationSeparator/>
      </w:r>
    </w:p>
  </w:footnote>
  <w:footnote w:id="1">
    <w:p w:rsidR="00AC1819" w:rsidRDefault="00DB4498">
      <w:pPr>
        <w:pStyle w:val="normal0"/>
        <w:spacing w:line="240" w:lineRule="auto"/>
        <w:contextualSpacing w:val="0"/>
      </w:pPr>
      <w:r>
        <w:rPr>
          <w:vertAlign w:val="superscript"/>
        </w:rPr>
        <w:footnoteRef/>
      </w:r>
      <w:r>
        <w:rPr>
          <w:rFonts w:ascii="Arial" w:eastAsia="Arial" w:hAnsi="Arial" w:cs="Arial"/>
          <w:color w:val="666666"/>
          <w:sz w:val="18"/>
          <w:szCs w:val="18"/>
        </w:rPr>
        <w:t xml:space="preserve"> Experian </w:t>
      </w:r>
      <w:proofErr w:type="spellStart"/>
      <w:r>
        <w:rPr>
          <w:rFonts w:ascii="Arial" w:eastAsia="Arial" w:hAnsi="Arial" w:cs="Arial"/>
          <w:color w:val="666666"/>
          <w:sz w:val="18"/>
          <w:szCs w:val="18"/>
        </w:rPr>
        <w:t>Hitwise</w:t>
      </w:r>
      <w:proofErr w:type="spellEnd"/>
      <w:r>
        <w:rPr>
          <w:rFonts w:ascii="Arial" w:eastAsia="Arial" w:hAnsi="Arial" w:cs="Arial"/>
          <w:color w:val="666666"/>
          <w:sz w:val="18"/>
          <w:szCs w:val="18"/>
        </w:rPr>
        <w:t xml:space="preserve"> since 2013</w:t>
      </w:r>
    </w:p>
  </w:footnote>
  <w:footnote w:id="2">
    <w:p w:rsidR="00AC1819" w:rsidRDefault="00DB4498">
      <w:pPr>
        <w:pStyle w:val="normal0"/>
        <w:spacing w:line="240" w:lineRule="auto"/>
        <w:contextualSpacing w:val="0"/>
      </w:pPr>
      <w:r>
        <w:rPr>
          <w:vertAlign w:val="superscript"/>
        </w:rPr>
        <w:footnoteRef/>
      </w:r>
      <w:r>
        <w:rPr>
          <w:rFonts w:ascii="Arial" w:eastAsia="Arial" w:hAnsi="Arial" w:cs="Arial"/>
          <w:color w:val="666666"/>
          <w:sz w:val="18"/>
          <w:szCs w:val="18"/>
        </w:rPr>
        <w:t xml:space="preserve"> Homelessness Australia, Australian Bureau of Statistics, Australian Institute of Health and Welfare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9" w:rsidRDefault="00AC1819">
    <w:pPr>
      <w:pStyle w:val="normal0"/>
      <w:contextualSpacing w:val="0"/>
      <w:jc w:val="right"/>
    </w:pPr>
  </w:p>
  <w:p w:rsidR="00AC1819" w:rsidRDefault="00AC1819">
    <w:pPr>
      <w:pStyle w:val="normal0"/>
      <w:contextualSpacing w:val="0"/>
      <w:jc w:val="right"/>
    </w:pPr>
  </w:p>
  <w:p w:rsidR="00AC1819" w:rsidRDefault="00DB4498">
    <w:pPr>
      <w:pStyle w:val="normal0"/>
      <w:contextualSpacing w:val="0"/>
      <w:jc w:val="right"/>
    </w:pPr>
    <w:r>
      <w:rPr>
        <w:noProof/>
        <w:lang w:val="en-US"/>
      </w:rPr>
      <w:drawing>
        <wp:inline distT="19050" distB="19050" distL="19050" distR="19050">
          <wp:extent cx="3114675" cy="9429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6D68"/>
    <w:multiLevelType w:val="multilevel"/>
    <w:tmpl w:val="142AE23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60A727F4"/>
    <w:multiLevelType w:val="multilevel"/>
    <w:tmpl w:val="FC62FB4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1819"/>
    <w:rsid w:val="00AC1819"/>
    <w:rsid w:val="00DB44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4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4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4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4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creditcard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lifeinsurancefinder.com.au/" TargetMode="External"/><Relationship Id="rId25" Type="http://schemas.openxmlformats.org/officeDocument/2006/relationships/hyperlink" Target="http://www.finder.com.au/resources/Finder-Financial-Services-Guide.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finder.com.au/" TargetMode="External"/><Relationship Id="rId12" Type="http://schemas.openxmlformats.org/officeDocument/2006/relationships/hyperlink" Target="http://www.finder.com.au/" TargetMode="External"/><Relationship Id="rId13" Type="http://schemas.openxmlformats.org/officeDocument/2006/relationships/hyperlink" Target="http://www.finder.com.au/" TargetMode="External"/><Relationship Id="rId14" Type="http://schemas.openxmlformats.org/officeDocument/2006/relationships/hyperlink" Target="http://www.finder.com.au/" TargetMode="External"/><Relationship Id="rId15" Type="http://schemas.openxmlformats.org/officeDocument/2006/relationships/hyperlink" Target="https://www.giggedin.com/gigs/best-10-growth-hacking-secrets-revealed-fred-schebesta-co-founder-and-director-at-findercomau" TargetMode="External"/><Relationship Id="rId16" Type="http://schemas.openxmlformats.org/officeDocument/2006/relationships/hyperlink" Target="https://www.ceosleepout.org.au/ceos/nsw-ceos/fred-schebesta-finder-com-au/" TargetMode="External"/><Relationship Id="rId17" Type="http://schemas.openxmlformats.org/officeDocument/2006/relationships/hyperlink" Target="mailto:Michelle@finder.com.au" TargetMode="External"/><Relationship Id="rId18" Type="http://schemas.openxmlformats.org/officeDocument/2006/relationships/hyperlink" Target="mailto:Bessie.Hassan@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6769</Characters>
  <Application>Microsoft Macintosh Word</Application>
  <DocSecurity>0</DocSecurity>
  <Lines>56</Lines>
  <Paragraphs>15</Paragraphs>
  <ScaleCrop>false</ScaleCrop>
  <Company>Finder.com.au</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2015-06-11T23:57:00Z</dcterms:created>
  <dcterms:modified xsi:type="dcterms:W3CDTF">2015-06-11T23:57:00Z</dcterms:modified>
</cp:coreProperties>
</file>