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3BDC" w:rsidRDefault="00643BDC">
      <w:pPr>
        <w:pStyle w:val="normal0"/>
        <w:widowControl w:val="0"/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455"/>
      </w:tblGrid>
      <w:tr w:rsidR="00643BDC" w:rsidTr="00C65A30">
        <w:trPr>
          <w:trHeight w:val="1579"/>
        </w:trPr>
        <w:tc>
          <w:tcPr>
            <w:tcW w:w="49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3BDC" w:rsidRDefault="00C65A30">
            <w:pPr>
              <w:pStyle w:val="Heading1"/>
              <w:widowControl w:val="0"/>
              <w:spacing w:line="240" w:lineRule="auto"/>
              <w:ind w:left="20"/>
              <w:contextualSpacing w:val="0"/>
            </w:pPr>
            <w:r>
              <w:rPr>
                <w:rFonts w:ascii="Arial" w:eastAsia="Arial" w:hAnsi="Arial" w:cs="Arial"/>
                <w:b/>
                <w:color w:val="1591FE"/>
                <w:sz w:val="48"/>
                <w:szCs w:val="48"/>
              </w:rPr>
              <w:t>Press release</w:t>
            </w:r>
          </w:p>
          <w:p w:rsidR="00643BDC" w:rsidRDefault="00C65A3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For immediate release</w:t>
            </w:r>
          </w:p>
          <w:p w:rsidR="00643BDC" w:rsidRDefault="00C65A3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July 31, 2015</w:t>
            </w:r>
          </w:p>
        </w:tc>
        <w:tc>
          <w:tcPr>
            <w:tcW w:w="4455" w:type="dxa"/>
            <w:shd w:val="clear" w:color="auto" w:fill="E5E5E5"/>
            <w:tcMar>
              <w:top w:w="288" w:type="dxa"/>
              <w:left w:w="288" w:type="dxa"/>
              <w:bottom w:w="288" w:type="dxa"/>
              <w:right w:w="288" w:type="dxa"/>
            </w:tcMar>
          </w:tcPr>
          <w:p w:rsidR="00643BDC" w:rsidRDefault="00C65A30">
            <w:pPr>
              <w:pStyle w:val="Heading2"/>
              <w:widowControl w:val="0"/>
              <w:spacing w:line="240" w:lineRule="auto"/>
              <w:ind w:left="20"/>
              <w:contextualSpacing w:val="0"/>
              <w:jc w:val="right"/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Michelle Hutchison</w:t>
            </w:r>
          </w:p>
          <w:p w:rsidR="00643BDC" w:rsidRDefault="00C65A30">
            <w:pPr>
              <w:pStyle w:val="normal0"/>
              <w:widowControl w:val="0"/>
              <w:ind w:left="20"/>
              <w:jc w:val="right"/>
            </w:pPr>
            <w:r>
              <w:rPr>
                <w:color w:val="777777"/>
                <w:sz w:val="20"/>
                <w:szCs w:val="20"/>
              </w:rPr>
              <w:t>Head of PR &amp; Money Expert</w:t>
            </w:r>
          </w:p>
          <w:p w:rsidR="00643BDC" w:rsidRDefault="00C65A30">
            <w:pPr>
              <w:pStyle w:val="normal0"/>
              <w:widowControl w:val="0"/>
              <w:ind w:left="20"/>
              <w:jc w:val="right"/>
            </w:pPr>
            <w:proofErr w:type="gramStart"/>
            <w:r>
              <w:rPr>
                <w:color w:val="777777"/>
                <w:sz w:val="20"/>
                <w:szCs w:val="20"/>
              </w:rPr>
              <w:t>finder.com.au</w:t>
            </w:r>
            <w:proofErr w:type="gramEnd"/>
          </w:p>
          <w:p w:rsidR="00643BDC" w:rsidRDefault="00C65A30">
            <w:pPr>
              <w:pStyle w:val="normal0"/>
              <w:widowControl w:val="0"/>
              <w:jc w:val="right"/>
            </w:pPr>
            <w:r>
              <w:rPr>
                <w:color w:val="777777"/>
                <w:sz w:val="20"/>
                <w:szCs w:val="20"/>
              </w:rPr>
              <w:t>+61403 192 994</w:t>
            </w:r>
          </w:p>
          <w:p w:rsidR="00643BDC" w:rsidRDefault="00C65A30">
            <w:pPr>
              <w:pStyle w:val="normal0"/>
              <w:widowControl w:val="0"/>
              <w:jc w:val="right"/>
            </w:pPr>
            <w:r>
              <w:rPr>
                <w:color w:val="777777"/>
                <w:sz w:val="20"/>
                <w:szCs w:val="20"/>
              </w:rPr>
              <w:t>+61 2 9299 7602</w:t>
            </w:r>
          </w:p>
          <w:p w:rsidR="00643BDC" w:rsidRDefault="00C65A30">
            <w:pPr>
              <w:pStyle w:val="normal0"/>
              <w:widowControl w:val="0"/>
              <w:ind w:left="20"/>
              <w:jc w:val="right"/>
            </w:pPr>
            <w:r>
              <w:rPr>
                <w:color w:val="777777"/>
                <w:sz w:val="20"/>
                <w:szCs w:val="20"/>
              </w:rPr>
              <w:t>Michelle@finder.com.au</w:t>
            </w:r>
          </w:p>
        </w:tc>
      </w:tr>
    </w:tbl>
    <w:p w:rsidR="00643BDC" w:rsidRDefault="00C65A30">
      <w:pPr>
        <w:pStyle w:val="normal0"/>
        <w:widowControl w:val="0"/>
        <w:ind w:left="20"/>
      </w:pPr>
      <w:r>
        <w:rPr>
          <w:b/>
          <w:color w:val="1591FE"/>
          <w:sz w:val="44"/>
          <w:szCs w:val="44"/>
        </w:rPr>
        <w:t>16 banks hit above APRA target for investment lending growth</w:t>
      </w:r>
    </w:p>
    <w:tbl>
      <w:tblPr>
        <w:tblStyle w:val="a0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3BDC">
        <w:tc>
          <w:tcPr>
            <w:tcW w:w="9360" w:type="dxa"/>
            <w:shd w:val="clear" w:color="auto" w:fill="E5E5E5"/>
            <w:tcMar>
              <w:top w:w="288" w:type="dxa"/>
              <w:left w:w="288" w:type="dxa"/>
              <w:bottom w:w="288" w:type="dxa"/>
              <w:right w:w="288" w:type="dxa"/>
            </w:tcMar>
          </w:tcPr>
          <w:p w:rsidR="00643BDC" w:rsidRDefault="00C65A3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finder.com.au</w:t>
              </w:r>
            </w:hyperlink>
            <w:r>
              <w:rPr>
                <w:sz w:val="18"/>
                <w:szCs w:val="18"/>
              </w:rPr>
              <w:t xml:space="preserve"> analysis of APRA Banking Statistics shows 16 banks grew investment loan books by more than 10% in the past year – including 3 of the 4 major banks</w:t>
            </w:r>
          </w:p>
          <w:p w:rsidR="00643BDC" w:rsidRDefault="00C65A3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Banks collectively increased investment lending by 16.5%</w:t>
            </w:r>
            <w:r>
              <w:rPr>
                <w:sz w:val="18"/>
                <w:szCs w:val="18"/>
              </w:rPr>
              <w:t xml:space="preserve"> year-on-year to $507.4 billion</w:t>
            </w:r>
          </w:p>
          <w:p w:rsidR="00643BDC" w:rsidRDefault="00C65A3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investors warned to watch the market as more lenders expected to tighten down on investment lending</w:t>
            </w:r>
          </w:p>
        </w:tc>
      </w:tr>
    </w:tbl>
    <w:p w:rsidR="00643BDC" w:rsidRDefault="00643BDC">
      <w:pPr>
        <w:pStyle w:val="normal0"/>
        <w:widowControl w:val="0"/>
        <w:ind w:left="20"/>
      </w:pPr>
    </w:p>
    <w:p w:rsidR="00643BDC" w:rsidRDefault="00C65A30">
      <w:pPr>
        <w:pStyle w:val="normal0"/>
        <w:widowControl w:val="0"/>
        <w:ind w:left="20"/>
      </w:pPr>
      <w:r>
        <w:rPr>
          <w:b/>
        </w:rPr>
        <w:t xml:space="preserve">JULY 31, 2015, SYDNEY, AUSTRALIA – </w:t>
      </w:r>
      <w:r>
        <w:t>Property investors are being warned to watch their home loan interest rates, w</w:t>
      </w:r>
      <w:r>
        <w:t xml:space="preserve">hile new investors will face a tougher time securing an investment loan, following new research into home loan market lending growth by one of Australia’s biggest comparison websites </w:t>
      </w:r>
      <w:hyperlink r:id="rId9">
        <w:r>
          <w:rPr>
            <w:color w:val="1155CC"/>
            <w:u w:val="single"/>
          </w:rPr>
          <w:t>finder.com.au</w:t>
        </w:r>
      </w:hyperlink>
      <w:r>
        <w:rPr>
          <w:vertAlign w:val="superscript"/>
        </w:rPr>
        <w:footnoteReference w:id="1"/>
      </w:r>
      <w:r>
        <w:t>.</w:t>
      </w:r>
    </w:p>
    <w:p w:rsidR="00643BDC" w:rsidRDefault="00643BDC">
      <w:pPr>
        <w:pStyle w:val="normal0"/>
        <w:widowControl w:val="0"/>
        <w:ind w:left="20"/>
      </w:pPr>
    </w:p>
    <w:p w:rsidR="00643BDC" w:rsidRDefault="00C65A30">
      <w:pPr>
        <w:pStyle w:val="normal0"/>
        <w:widowControl w:val="0"/>
        <w:ind w:left="20"/>
      </w:pPr>
      <w:r>
        <w:t xml:space="preserve">The </w:t>
      </w:r>
      <w:hyperlink r:id="rId10">
        <w:r>
          <w:rPr>
            <w:color w:val="1155CC"/>
            <w:u w:val="single"/>
          </w:rPr>
          <w:t>finder.com.au</w:t>
        </w:r>
      </w:hyperlink>
      <w:r>
        <w:t xml:space="preserve"> analysis of data from the Australian Prudential Regulation Authority (APRA), released today (July 31, 2015), shows that 16 banks have grown their investment home loan </w:t>
      </w:r>
      <w:proofErr w:type="gramStart"/>
      <w:r>
        <w:t>lending</w:t>
      </w:r>
      <w:proofErr w:type="gramEnd"/>
      <w:r>
        <w:t xml:space="preserve"> by more than 10 </w:t>
      </w:r>
      <w:proofErr w:type="spellStart"/>
      <w:r>
        <w:t>percent</w:t>
      </w:r>
      <w:proofErr w:type="spellEnd"/>
      <w:r>
        <w:t xml:space="preserve"> in t</w:t>
      </w:r>
      <w:r>
        <w:t>he past year to June 2015, including three of the four major banks: ANZ, Commonwealth Bank and NAB.</w:t>
      </w:r>
    </w:p>
    <w:p w:rsidR="00643BDC" w:rsidRDefault="00643BDC">
      <w:pPr>
        <w:pStyle w:val="normal0"/>
        <w:widowControl w:val="0"/>
        <w:ind w:left="20"/>
      </w:pPr>
    </w:p>
    <w:p w:rsidR="00643BDC" w:rsidRDefault="00C65A30">
      <w:pPr>
        <w:pStyle w:val="normal0"/>
        <w:widowControl w:val="0"/>
      </w:pPr>
      <w:r>
        <w:t xml:space="preserve">Banks have collectively grown their investment lending by 16.5 </w:t>
      </w:r>
      <w:proofErr w:type="spellStart"/>
      <w:r>
        <w:t>percent</w:t>
      </w:r>
      <w:proofErr w:type="spellEnd"/>
      <w:r>
        <w:t xml:space="preserve"> in June 2015 compared to June 2014. Total investment loans by the 73 banks monitored</w:t>
      </w:r>
      <w:r>
        <w:t xml:space="preserve"> by APRA has grown from $435.7 billion in June 2014 to $507.4 billion in June 2015.</w:t>
      </w:r>
    </w:p>
    <w:p w:rsidR="00643BDC" w:rsidRDefault="00643BDC">
      <w:pPr>
        <w:pStyle w:val="normal0"/>
        <w:widowControl w:val="0"/>
        <w:ind w:left="20"/>
      </w:pPr>
    </w:p>
    <w:p w:rsidR="00643BDC" w:rsidRDefault="00C65A30">
      <w:pPr>
        <w:pStyle w:val="normal0"/>
        <w:widowControl w:val="0"/>
        <w:ind w:left="20"/>
      </w:pPr>
      <w:r>
        <w:t>Investment lending in the past year has grown more than three times that of their owner-occupied lending. These banks have collectively grown their owner-occupied books by</w:t>
      </w:r>
      <w:r>
        <w:t xml:space="preserve"> just 4.5 </w:t>
      </w:r>
      <w:proofErr w:type="spellStart"/>
      <w:r>
        <w:t>percent</w:t>
      </w:r>
      <w:proofErr w:type="spellEnd"/>
      <w:r>
        <w:t xml:space="preserve"> (compared to 16.5 </w:t>
      </w:r>
      <w:proofErr w:type="spellStart"/>
      <w:r>
        <w:t>percent</w:t>
      </w:r>
      <w:proofErr w:type="spellEnd"/>
      <w:r>
        <w:t xml:space="preserve"> for investment loans), from $829.9 billion in June 2014 to $866.8 billion in June 2015.</w:t>
      </w:r>
    </w:p>
    <w:p w:rsidR="00643BDC" w:rsidRDefault="00643BDC">
      <w:pPr>
        <w:pStyle w:val="normal0"/>
        <w:widowControl w:val="0"/>
        <w:ind w:left="20"/>
      </w:pPr>
    </w:p>
    <w:p w:rsidR="00C65A30" w:rsidRDefault="00C65A30">
      <w:pPr>
        <w:pStyle w:val="normal0"/>
        <w:widowControl w:val="0"/>
        <w:ind w:left="20"/>
      </w:pPr>
    </w:p>
    <w:p w:rsidR="00C65A30" w:rsidRDefault="00C65A30">
      <w:pPr>
        <w:pStyle w:val="normal0"/>
        <w:widowControl w:val="0"/>
        <w:ind w:left="20"/>
      </w:pPr>
    </w:p>
    <w:p w:rsidR="00643BDC" w:rsidRDefault="00C65A30">
      <w:pPr>
        <w:pStyle w:val="normal0"/>
        <w:widowControl w:val="0"/>
        <w:ind w:left="20"/>
      </w:pPr>
      <w:r>
        <w:t xml:space="preserve">Michelle Hutchison, Money Expert at </w:t>
      </w:r>
      <w:hyperlink r:id="rId11">
        <w:r>
          <w:rPr>
            <w:color w:val="1155CC"/>
            <w:u w:val="single"/>
          </w:rPr>
          <w:t>finder.com.au</w:t>
        </w:r>
      </w:hyperlink>
      <w:r>
        <w:t>, said APRA’s move to curb investment lending has done little to ease growth.</w:t>
      </w:r>
    </w:p>
    <w:p w:rsidR="00643BDC" w:rsidRDefault="00643BDC">
      <w:pPr>
        <w:pStyle w:val="normal0"/>
        <w:widowControl w:val="0"/>
        <w:ind w:left="20"/>
      </w:pPr>
    </w:p>
    <w:p w:rsidR="00643BDC" w:rsidRDefault="00C65A30">
      <w:pPr>
        <w:pStyle w:val="normal0"/>
        <w:widowControl w:val="0"/>
        <w:ind w:left="20"/>
      </w:pPr>
      <w:r>
        <w:t>“While APRA has implemented measures to curb investment lending growth, many banks have clearly not responded as their lending has continued to rise.</w:t>
      </w:r>
    </w:p>
    <w:p w:rsidR="00643BDC" w:rsidRDefault="00643BDC">
      <w:pPr>
        <w:pStyle w:val="normal0"/>
        <w:widowControl w:val="0"/>
        <w:ind w:left="20"/>
      </w:pPr>
    </w:p>
    <w:p w:rsidR="00643BDC" w:rsidRDefault="00C65A30">
      <w:pPr>
        <w:pStyle w:val="normal0"/>
        <w:widowControl w:val="0"/>
        <w:ind w:left="20"/>
      </w:pPr>
      <w:r>
        <w:t>“In fact, 16 banks have in</w:t>
      </w:r>
      <w:r>
        <w:t xml:space="preserve">creased their investment lending by more than APRA’s recommended 10 </w:t>
      </w:r>
      <w:proofErr w:type="spellStart"/>
      <w:r>
        <w:t>percent</w:t>
      </w:r>
      <w:proofErr w:type="spellEnd"/>
      <w:r>
        <w:t xml:space="preserve"> growth rate in the past year, including some of our biggest banks.”</w:t>
      </w:r>
    </w:p>
    <w:p w:rsidR="00643BDC" w:rsidRDefault="00643BDC">
      <w:pPr>
        <w:pStyle w:val="normal0"/>
        <w:widowControl w:val="0"/>
        <w:ind w:left="20"/>
      </w:pPr>
    </w:p>
    <w:p w:rsidR="00643BDC" w:rsidRDefault="00C65A30">
      <w:pPr>
        <w:pStyle w:val="normal0"/>
        <w:widowControl w:val="0"/>
        <w:ind w:left="20"/>
      </w:pPr>
      <w:r>
        <w:t xml:space="preserve">The biggest increase in investment lending growth was by Macquarie Bank by 81.6 </w:t>
      </w:r>
      <w:proofErr w:type="spellStart"/>
      <w:r>
        <w:t>percent</w:t>
      </w:r>
      <w:proofErr w:type="spellEnd"/>
      <w:r>
        <w:t xml:space="preserve"> to $9.0 billion, largel</w:t>
      </w:r>
      <w:r>
        <w:t>y due to acquiring loans books from other institutions.</w:t>
      </w:r>
    </w:p>
    <w:p w:rsidR="00643BDC" w:rsidRDefault="00643BDC">
      <w:pPr>
        <w:pStyle w:val="normal0"/>
        <w:widowControl w:val="0"/>
        <w:ind w:left="20"/>
      </w:pPr>
    </w:p>
    <w:p w:rsidR="00643BDC" w:rsidRDefault="00C65A30">
      <w:pPr>
        <w:pStyle w:val="normal0"/>
        <w:widowControl w:val="0"/>
        <w:ind w:left="20"/>
      </w:pPr>
      <w:r>
        <w:t xml:space="preserve">The third-largest investment home loan lender in Australia – ANZ – saw the second-biggest spike in investment home loan growth, of 51.4 </w:t>
      </w:r>
      <w:proofErr w:type="spellStart"/>
      <w:r>
        <w:t>percent</w:t>
      </w:r>
      <w:proofErr w:type="spellEnd"/>
      <w:r>
        <w:t xml:space="preserve"> year-on-year to $83.5 billion.</w:t>
      </w:r>
    </w:p>
    <w:p w:rsidR="00643BDC" w:rsidRDefault="00643BDC">
      <w:pPr>
        <w:pStyle w:val="normal0"/>
        <w:widowControl w:val="0"/>
        <w:ind w:left="20"/>
      </w:pPr>
    </w:p>
    <w:p w:rsidR="00643BDC" w:rsidRDefault="00C65A30">
      <w:pPr>
        <w:pStyle w:val="normal0"/>
        <w:widowControl w:val="0"/>
        <w:ind w:left="20"/>
      </w:pPr>
      <w:r>
        <w:t>In contrast, the bigges</w:t>
      </w:r>
      <w:r>
        <w:t xml:space="preserve">t investment lender in Australia – Westpac – grew its investment lending by just 9.9 </w:t>
      </w:r>
      <w:proofErr w:type="spellStart"/>
      <w:r>
        <w:t>percent</w:t>
      </w:r>
      <w:proofErr w:type="spellEnd"/>
      <w:r>
        <w:t xml:space="preserve"> in the past year to June 2015, to $152.5 billion.</w:t>
      </w:r>
    </w:p>
    <w:p w:rsidR="00643BDC" w:rsidRDefault="00643BDC">
      <w:pPr>
        <w:pStyle w:val="normal0"/>
        <w:widowControl w:val="0"/>
        <w:ind w:left="20"/>
      </w:pPr>
    </w:p>
    <w:p w:rsidR="00643BDC" w:rsidRDefault="00C65A30">
      <w:pPr>
        <w:pStyle w:val="normal0"/>
        <w:widowControl w:val="0"/>
        <w:ind w:left="20"/>
        <w:jc w:val="center"/>
      </w:pPr>
      <w:r>
        <w:rPr>
          <w:b/>
        </w:rPr>
        <w:t>Banks that have increased year-on-year investment lending growth by more than 10%</w:t>
      </w:r>
    </w:p>
    <w:tbl>
      <w:tblPr>
        <w:tblStyle w:val="a1"/>
        <w:tblW w:w="91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2625"/>
        <w:gridCol w:w="2505"/>
      </w:tblGrid>
      <w:tr w:rsidR="00643BDC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304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b/>
                <w:color w:val="FFFFFF"/>
                <w:sz w:val="18"/>
                <w:szCs w:val="18"/>
                <w:shd w:val="clear" w:color="auto" w:fill="18304B"/>
              </w:rPr>
              <w:t>Banks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304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b/>
                <w:color w:val="FFFFFF"/>
                <w:sz w:val="18"/>
                <w:szCs w:val="18"/>
                <w:shd w:val="clear" w:color="auto" w:fill="18304B"/>
              </w:rPr>
              <w:t>Loans to households - in</w:t>
            </w:r>
            <w:r>
              <w:rPr>
                <w:b/>
                <w:color w:val="FFFFFF"/>
                <w:sz w:val="18"/>
                <w:szCs w:val="18"/>
                <w:shd w:val="clear" w:color="auto" w:fill="18304B"/>
              </w:rPr>
              <w:t>vestment, as at June 2015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304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b/>
                <w:color w:val="FFFFFF"/>
                <w:sz w:val="18"/>
                <w:szCs w:val="18"/>
                <w:shd w:val="clear" w:color="auto" w:fill="18304B"/>
              </w:rPr>
              <w:t>One-year growth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Macquarie Bank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$9.0 billion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81.6%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Australia and New Zealand Banking Group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$83.5 billion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51.4%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MECU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$523 million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44.1%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Defence Ban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$112 million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34.9%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Members Equity Bank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$3.9 billion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32.0%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Teachers Mutual Bank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$758 million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26.8%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Arab Bank Australia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$148 million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25.4%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Police &amp; Nurses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$695 million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25.0%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Police Financial Services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$207 million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19.7%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QT Mutual Bank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$262 million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16.4%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Heritage Bank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$1.7 billion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16.4%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Police Bank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$151 million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14.4%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National Australia Bank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$66.6 billion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14.0%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 xml:space="preserve">AMP Bank 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$3.0 billion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13.8%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proofErr w:type="spellStart"/>
            <w:r>
              <w:rPr>
                <w:sz w:val="18"/>
                <w:szCs w:val="18"/>
              </w:rPr>
              <w:t>Suncorp-Metway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$12.4 billion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11.1%</w:t>
            </w:r>
          </w:p>
        </w:tc>
      </w:tr>
      <w:tr w:rsidR="00643BDC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Commonwealth Bank of Australia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$129.7 billion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3BDC" w:rsidRDefault="00C65A30">
            <w:pPr>
              <w:pStyle w:val="normal0"/>
              <w:widowControl w:val="0"/>
              <w:ind w:left="20"/>
              <w:jc w:val="center"/>
            </w:pPr>
            <w:r>
              <w:rPr>
                <w:sz w:val="18"/>
                <w:szCs w:val="18"/>
              </w:rPr>
              <w:t>10.2%</w:t>
            </w:r>
          </w:p>
        </w:tc>
      </w:tr>
    </w:tbl>
    <w:p w:rsidR="00643BDC" w:rsidRDefault="00C65A30">
      <w:pPr>
        <w:pStyle w:val="normal0"/>
        <w:widowControl w:val="0"/>
      </w:pPr>
      <w:r>
        <w:rPr>
          <w:color w:val="222222"/>
          <w:sz w:val="18"/>
          <w:szCs w:val="18"/>
          <w:highlight w:val="white"/>
        </w:rPr>
        <w:t xml:space="preserve">Source: APRA Monthly Banking Statistics data analysed by </w:t>
      </w:r>
      <w:hyperlink r:id="rId12">
        <w:r>
          <w:rPr>
            <w:color w:val="1155CC"/>
            <w:sz w:val="18"/>
            <w:szCs w:val="18"/>
            <w:highlight w:val="white"/>
            <w:u w:val="single"/>
          </w:rPr>
          <w:t>finder.com.au</w:t>
        </w:r>
      </w:hyperlink>
      <w:r>
        <w:rPr>
          <w:color w:val="222222"/>
          <w:sz w:val="18"/>
          <w:szCs w:val="18"/>
          <w:highlight w:val="white"/>
        </w:rPr>
        <w:t>, ranked by highest year-on-year growth</w:t>
      </w:r>
    </w:p>
    <w:p w:rsidR="00643BDC" w:rsidRDefault="00643BDC">
      <w:pPr>
        <w:pStyle w:val="normal0"/>
        <w:widowControl w:val="0"/>
      </w:pPr>
    </w:p>
    <w:p w:rsidR="00643BDC" w:rsidRDefault="00C65A30">
      <w:pPr>
        <w:pStyle w:val="normal0"/>
        <w:widowControl w:val="0"/>
      </w:pPr>
      <w:r>
        <w:t xml:space="preserve">Growth over the past two years to June </w:t>
      </w:r>
      <w:proofErr w:type="gramStart"/>
      <w:r>
        <w:t>2015,</w:t>
      </w:r>
      <w:proofErr w:type="gramEnd"/>
      <w:r>
        <w:t xml:space="preserve"> saw investment lending by these banks increase by 28.6 </w:t>
      </w:r>
      <w:proofErr w:type="spellStart"/>
      <w:r>
        <w:t>percent</w:t>
      </w:r>
      <w:proofErr w:type="spellEnd"/>
      <w:r>
        <w:t>, from $394.5 billion in June 2013. Compared to owner-oc</w:t>
      </w:r>
      <w:r>
        <w:t xml:space="preserve">cupied lending, it grew by 12.2 </w:t>
      </w:r>
      <w:proofErr w:type="spellStart"/>
      <w:r>
        <w:t>percent</w:t>
      </w:r>
      <w:proofErr w:type="spellEnd"/>
      <w:r>
        <w:t>, from $772.9 billion in June 2013.</w:t>
      </w:r>
    </w:p>
    <w:p w:rsidR="00643BDC" w:rsidRDefault="00643BDC">
      <w:pPr>
        <w:pStyle w:val="normal0"/>
        <w:widowControl w:val="0"/>
      </w:pPr>
    </w:p>
    <w:p w:rsidR="00643BDC" w:rsidRDefault="00C65A30">
      <w:pPr>
        <w:pStyle w:val="normal0"/>
        <w:widowControl w:val="0"/>
      </w:pPr>
      <w:r>
        <w:t xml:space="preserve">Taiwan Business Bank saw the biggest growth </w:t>
      </w:r>
      <w:r>
        <w:rPr>
          <w:color w:val="222222"/>
          <w:highlight w:val="white"/>
        </w:rPr>
        <w:t xml:space="preserve">in investment lending of 300 </w:t>
      </w:r>
      <w:proofErr w:type="spellStart"/>
      <w:r>
        <w:rPr>
          <w:color w:val="222222"/>
          <w:highlight w:val="white"/>
        </w:rPr>
        <w:t>percent</w:t>
      </w:r>
      <w:proofErr w:type="spellEnd"/>
      <w:r>
        <w:rPr>
          <w:color w:val="222222"/>
          <w:highlight w:val="white"/>
        </w:rPr>
        <w:t xml:space="preserve"> over the past two years, moving from $4 million to $16 million. While Macquarie Bank also had the b</w:t>
      </w:r>
      <w:r>
        <w:rPr>
          <w:color w:val="222222"/>
          <w:highlight w:val="white"/>
        </w:rPr>
        <w:t xml:space="preserve">iggest growth for owner-occupied home loans since June 2013 of 155.7 </w:t>
      </w:r>
      <w:proofErr w:type="spellStart"/>
      <w:r>
        <w:rPr>
          <w:color w:val="222222"/>
          <w:highlight w:val="white"/>
        </w:rPr>
        <w:t>percent</w:t>
      </w:r>
      <w:proofErr w:type="spellEnd"/>
      <w:r>
        <w:rPr>
          <w:color w:val="222222"/>
          <w:highlight w:val="white"/>
        </w:rPr>
        <w:t xml:space="preserve">, from $5.8 billion to $14.8 </w:t>
      </w:r>
      <w:proofErr w:type="gramStart"/>
      <w:r>
        <w:rPr>
          <w:color w:val="222222"/>
          <w:highlight w:val="white"/>
        </w:rPr>
        <w:t>billion.</w:t>
      </w:r>
      <w:proofErr w:type="gramEnd"/>
    </w:p>
    <w:p w:rsidR="00643BDC" w:rsidRDefault="00643BDC">
      <w:pPr>
        <w:pStyle w:val="normal0"/>
        <w:widowControl w:val="0"/>
      </w:pPr>
    </w:p>
    <w:p w:rsidR="00643BDC" w:rsidRDefault="00C65A30">
      <w:pPr>
        <w:pStyle w:val="normal0"/>
        <w:widowControl w:val="0"/>
      </w:pPr>
      <w:r>
        <w:t xml:space="preserve">“Borrowers need to be mindful that some lenders may pull back on investment lending harder than others, by following the lead of AMP earlier </w:t>
      </w:r>
      <w:r>
        <w:t>this week and ceasing offering investment loans, or increasing rates or tightening down on lending criteria,” said Mrs Hutchison.</w:t>
      </w:r>
    </w:p>
    <w:p w:rsidR="00643BDC" w:rsidRDefault="00643BDC">
      <w:pPr>
        <w:pStyle w:val="normal0"/>
        <w:widowControl w:val="0"/>
      </w:pPr>
    </w:p>
    <w:p w:rsidR="00643BDC" w:rsidRDefault="00C65A30">
      <w:pPr>
        <w:pStyle w:val="normal0"/>
        <w:widowControl w:val="0"/>
      </w:pPr>
      <w:r>
        <w:t>“In this turbulent market, it’s vital to do your research and compare providers and their offerings, weigh up the pros and co</w:t>
      </w:r>
      <w:r>
        <w:t>ns, and ensure you’re getting the best possible deal for your personal situation.”</w:t>
      </w:r>
    </w:p>
    <w:p w:rsidR="00643BDC" w:rsidRDefault="00643BDC">
      <w:pPr>
        <w:pStyle w:val="normal0"/>
        <w:widowControl w:val="0"/>
        <w:ind w:left="20"/>
      </w:pPr>
    </w:p>
    <w:p w:rsidR="00C65A30" w:rsidRDefault="00C65A30">
      <w:pPr>
        <w:pStyle w:val="normal0"/>
        <w:widowControl w:val="0"/>
        <w:ind w:left="20"/>
      </w:pPr>
    </w:p>
    <w:p w:rsidR="00643BDC" w:rsidRDefault="00C65A30">
      <w:pPr>
        <w:pStyle w:val="normal0"/>
        <w:widowControl w:val="0"/>
        <w:ind w:left="20"/>
      </w:pPr>
      <w:r>
        <w:rPr>
          <w:color w:val="777777"/>
          <w:sz w:val="28"/>
          <w:szCs w:val="28"/>
        </w:rPr>
        <w:t>###</w:t>
      </w:r>
    </w:p>
    <w:p w:rsidR="00643BDC" w:rsidRDefault="00643BDC">
      <w:pPr>
        <w:pStyle w:val="normal0"/>
        <w:widowControl w:val="0"/>
      </w:pPr>
    </w:p>
    <w:p w:rsidR="00643BDC" w:rsidRDefault="00C65A30">
      <w:pPr>
        <w:pStyle w:val="normal0"/>
        <w:widowControl w:val="0"/>
      </w:pPr>
      <w:r>
        <w:rPr>
          <w:color w:val="777777"/>
        </w:rPr>
        <w:t xml:space="preserve">We now have </w:t>
      </w:r>
      <w:proofErr w:type="gramStart"/>
      <w:r>
        <w:rPr>
          <w:color w:val="777777"/>
        </w:rPr>
        <w:t>a news</w:t>
      </w:r>
      <w:proofErr w:type="gramEnd"/>
      <w:r>
        <w:rPr>
          <w:color w:val="777777"/>
        </w:rPr>
        <w:t xml:space="preserve"> feed on Twitter! Follow us for the latest updates or drop us a line to say hi: @</w:t>
      </w:r>
      <w:proofErr w:type="spellStart"/>
      <w:r>
        <w:rPr>
          <w:color w:val="777777"/>
        </w:rPr>
        <w:t>finder_news</w:t>
      </w:r>
      <w:proofErr w:type="spellEnd"/>
      <w:r>
        <w:rPr>
          <w:color w:val="777777"/>
        </w:rPr>
        <w:t>.</w:t>
      </w:r>
    </w:p>
    <w:p w:rsidR="00643BDC" w:rsidRDefault="00643BDC">
      <w:pPr>
        <w:pStyle w:val="normal0"/>
        <w:widowControl w:val="0"/>
      </w:pPr>
    </w:p>
    <w:p w:rsidR="00C65A30" w:rsidRDefault="00C65A30">
      <w:pPr>
        <w:pStyle w:val="normal0"/>
        <w:widowControl w:val="0"/>
      </w:pPr>
    </w:p>
    <w:p w:rsidR="00643BDC" w:rsidRDefault="00C65A30">
      <w:pPr>
        <w:pStyle w:val="normal0"/>
        <w:widowControl w:val="0"/>
      </w:pPr>
      <w:r>
        <w:rPr>
          <w:b/>
          <w:color w:val="777777"/>
          <w:sz w:val="28"/>
          <w:szCs w:val="28"/>
        </w:rPr>
        <w:t>For further information:</w:t>
      </w:r>
    </w:p>
    <w:p w:rsidR="00643BDC" w:rsidRDefault="00C65A30">
      <w:pPr>
        <w:pStyle w:val="normal0"/>
        <w:widowControl w:val="0"/>
      </w:pPr>
      <w:r>
        <w:rPr>
          <w:b/>
          <w:color w:val="777777"/>
          <w:sz w:val="20"/>
          <w:szCs w:val="20"/>
        </w:rPr>
        <w:t>Michelle Hutchison</w:t>
      </w:r>
      <w:r>
        <w:rPr>
          <w:b/>
          <w:color w:val="777777"/>
          <w:sz w:val="20"/>
          <w:szCs w:val="20"/>
        </w:rPr>
        <w:tab/>
      </w:r>
      <w:r>
        <w:rPr>
          <w:b/>
          <w:color w:val="777777"/>
          <w:sz w:val="20"/>
          <w:szCs w:val="20"/>
        </w:rPr>
        <w:tab/>
      </w:r>
      <w:r>
        <w:rPr>
          <w:b/>
          <w:color w:val="777777"/>
          <w:sz w:val="20"/>
          <w:szCs w:val="20"/>
        </w:rPr>
        <w:tab/>
      </w:r>
      <w:r>
        <w:rPr>
          <w:b/>
          <w:color w:val="777777"/>
          <w:sz w:val="20"/>
          <w:szCs w:val="20"/>
        </w:rPr>
        <w:tab/>
      </w:r>
      <w:r>
        <w:rPr>
          <w:b/>
          <w:color w:val="777777"/>
          <w:sz w:val="20"/>
          <w:szCs w:val="20"/>
        </w:rPr>
        <w:tab/>
      </w:r>
      <w:r>
        <w:rPr>
          <w:b/>
          <w:color w:val="777777"/>
          <w:sz w:val="20"/>
          <w:szCs w:val="20"/>
        </w:rPr>
        <w:t>Bessie Hassan</w:t>
      </w:r>
    </w:p>
    <w:p w:rsidR="00643BDC" w:rsidRDefault="00C65A30">
      <w:pPr>
        <w:pStyle w:val="normal0"/>
        <w:widowControl w:val="0"/>
      </w:pPr>
      <w:r>
        <w:rPr>
          <w:color w:val="777777"/>
          <w:sz w:val="20"/>
          <w:szCs w:val="20"/>
        </w:rPr>
        <w:t>Head of PR &amp; Money Expert</w:t>
      </w:r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  <w:t>PR Manager</w:t>
      </w:r>
    </w:p>
    <w:p w:rsidR="00643BDC" w:rsidRDefault="00C65A30">
      <w:pPr>
        <w:pStyle w:val="normal0"/>
        <w:widowControl w:val="0"/>
        <w:ind w:left="20"/>
      </w:pPr>
      <w:proofErr w:type="gramStart"/>
      <w:r>
        <w:rPr>
          <w:color w:val="777777"/>
          <w:sz w:val="20"/>
          <w:szCs w:val="20"/>
        </w:rPr>
        <w:t>finder.com.au</w:t>
      </w:r>
      <w:proofErr w:type="gramEnd"/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  <w:t>finder.com.au</w:t>
      </w:r>
    </w:p>
    <w:p w:rsidR="00643BDC" w:rsidRDefault="00C65A30">
      <w:pPr>
        <w:pStyle w:val="normal0"/>
        <w:widowControl w:val="0"/>
      </w:pPr>
      <w:r>
        <w:rPr>
          <w:color w:val="777777"/>
          <w:sz w:val="20"/>
          <w:szCs w:val="20"/>
        </w:rPr>
        <w:t>+61403 192 994</w:t>
      </w:r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  <w:t>+61402 567 568</w:t>
      </w:r>
    </w:p>
    <w:p w:rsidR="00643BDC" w:rsidRDefault="00C65A30">
      <w:pPr>
        <w:pStyle w:val="Heading4"/>
        <w:keepNext w:val="0"/>
        <w:keepLines w:val="0"/>
        <w:widowControl w:val="0"/>
        <w:spacing w:before="0"/>
        <w:contextualSpacing w:val="0"/>
      </w:pPr>
      <w:bookmarkStart w:id="0" w:name="h.ylu2s8r5z1hh" w:colFirst="0" w:colLast="0"/>
      <w:bookmarkEnd w:id="0"/>
      <w:r>
        <w:rPr>
          <w:rFonts w:ascii="Arial" w:eastAsia="Arial" w:hAnsi="Arial" w:cs="Arial"/>
          <w:color w:val="777777"/>
          <w:sz w:val="20"/>
          <w:szCs w:val="20"/>
          <w:u w:val="none"/>
        </w:rPr>
        <w:t>+61 2 9299 7602</w:t>
      </w:r>
      <w:r>
        <w:rPr>
          <w:rFonts w:ascii="Arial" w:eastAsia="Arial" w:hAnsi="Arial" w:cs="Arial"/>
          <w:color w:val="777777"/>
          <w:sz w:val="20"/>
          <w:szCs w:val="20"/>
          <w:u w:val="none"/>
        </w:rPr>
        <w:tab/>
      </w:r>
      <w:r>
        <w:rPr>
          <w:rFonts w:ascii="Arial" w:eastAsia="Arial" w:hAnsi="Arial" w:cs="Arial"/>
          <w:color w:val="777777"/>
          <w:sz w:val="20"/>
          <w:szCs w:val="20"/>
          <w:u w:val="none"/>
        </w:rPr>
        <w:tab/>
      </w:r>
      <w:r>
        <w:rPr>
          <w:rFonts w:ascii="Arial" w:eastAsia="Arial" w:hAnsi="Arial" w:cs="Arial"/>
          <w:color w:val="777777"/>
          <w:sz w:val="20"/>
          <w:szCs w:val="20"/>
          <w:u w:val="none"/>
        </w:rPr>
        <w:tab/>
      </w:r>
      <w:r>
        <w:rPr>
          <w:rFonts w:ascii="Arial" w:eastAsia="Arial" w:hAnsi="Arial" w:cs="Arial"/>
          <w:color w:val="777777"/>
          <w:sz w:val="20"/>
          <w:szCs w:val="20"/>
          <w:u w:val="none"/>
        </w:rPr>
        <w:tab/>
      </w:r>
      <w:r>
        <w:rPr>
          <w:rFonts w:ascii="Arial" w:eastAsia="Arial" w:hAnsi="Arial" w:cs="Arial"/>
          <w:color w:val="777777"/>
          <w:sz w:val="20"/>
          <w:szCs w:val="20"/>
          <w:u w:val="none"/>
        </w:rPr>
        <w:tab/>
        <w:t>+2 9299 7602</w:t>
      </w:r>
    </w:p>
    <w:p w:rsidR="00643BDC" w:rsidRDefault="00C65A30">
      <w:pPr>
        <w:pStyle w:val="normal0"/>
        <w:widowControl w:val="0"/>
        <w:ind w:left="20"/>
      </w:pPr>
      <w:hyperlink r:id="rId13">
        <w:r>
          <w:rPr>
            <w:color w:val="777777"/>
            <w:sz w:val="20"/>
            <w:szCs w:val="20"/>
            <w:u w:val="single"/>
          </w:rPr>
          <w:t>Michelle@finder.com.au</w:t>
        </w:r>
      </w:hyperlink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</w:r>
      <w:r>
        <w:rPr>
          <w:color w:val="777777"/>
          <w:sz w:val="20"/>
          <w:szCs w:val="20"/>
        </w:rPr>
        <w:tab/>
      </w:r>
      <w:hyperlink r:id="rId14">
        <w:r>
          <w:rPr>
            <w:color w:val="777777"/>
            <w:sz w:val="20"/>
            <w:szCs w:val="20"/>
            <w:u w:val="single"/>
          </w:rPr>
          <w:t>Bessie.Hassan@finder.com.au</w:t>
        </w:r>
      </w:hyperlink>
    </w:p>
    <w:p w:rsidR="00643BDC" w:rsidRDefault="00643BDC">
      <w:pPr>
        <w:pStyle w:val="normal0"/>
        <w:widowControl w:val="0"/>
        <w:spacing w:line="240" w:lineRule="auto"/>
      </w:pPr>
    </w:p>
    <w:p w:rsidR="00643BDC" w:rsidRDefault="00C65A30">
      <w:pPr>
        <w:pStyle w:val="normal0"/>
        <w:widowControl w:val="0"/>
        <w:spacing w:line="240" w:lineRule="auto"/>
        <w:ind w:left="20"/>
      </w:pPr>
      <w:r>
        <w:rPr>
          <w:b/>
          <w:color w:val="777777"/>
          <w:sz w:val="18"/>
          <w:szCs w:val="18"/>
        </w:rPr>
        <w:t>About finder.com.au:</w:t>
      </w:r>
    </w:p>
    <w:p w:rsidR="00643BDC" w:rsidRDefault="00C65A30">
      <w:pPr>
        <w:pStyle w:val="normal0"/>
        <w:widowControl w:val="0"/>
        <w:ind w:left="20"/>
      </w:pPr>
      <w:hyperlink r:id="rId15">
        <w:proofErr w:type="gramStart"/>
        <w:r>
          <w:rPr>
            <w:i/>
            <w:color w:val="777777"/>
            <w:sz w:val="18"/>
            <w:szCs w:val="18"/>
            <w:u w:val="single"/>
          </w:rPr>
          <w:t>finder.com.au</w:t>
        </w:r>
        <w:proofErr w:type="gramEnd"/>
      </w:hyperlink>
      <w:r>
        <w:rPr>
          <w:i/>
          <w:color w:val="777777"/>
          <w:sz w:val="18"/>
          <w:szCs w:val="18"/>
        </w:rPr>
        <w:t xml:space="preserve"> is one of Australia’s biggest comparison websites and has helped over 4.8 million Australians f</w:t>
      </w:r>
      <w:r>
        <w:rPr>
          <w:i/>
          <w:color w:val="777777"/>
          <w:sz w:val="18"/>
          <w:szCs w:val="18"/>
        </w:rPr>
        <w:t xml:space="preserve">ind better credit cards, home loans, life insurance, shopping deals and more since 2006. </w:t>
      </w:r>
      <w:proofErr w:type="gramStart"/>
      <w:r>
        <w:rPr>
          <w:i/>
          <w:color w:val="777777"/>
          <w:sz w:val="18"/>
          <w:szCs w:val="18"/>
        </w:rPr>
        <w:t>finder.com.au</w:t>
      </w:r>
      <w:proofErr w:type="gramEnd"/>
      <w:r>
        <w:rPr>
          <w:i/>
          <w:color w:val="777777"/>
          <w:sz w:val="18"/>
          <w:szCs w:val="18"/>
        </w:rPr>
        <w:t xml:space="preserve"> compares 250 credit and debit cards from 31 providers, over 300 home loan products, and information from 13 life insurance providers as well as online sh</w:t>
      </w:r>
      <w:r>
        <w:rPr>
          <w:i/>
          <w:color w:val="777777"/>
          <w:sz w:val="18"/>
          <w:szCs w:val="18"/>
        </w:rPr>
        <w:t>opping promo codes, mobile phone plans, travel insurance and more. One Australian every five minutes is using</w:t>
      </w:r>
      <w:hyperlink r:id="rId16">
        <w:r>
          <w:rPr>
            <w:i/>
            <w:color w:val="777777"/>
            <w:sz w:val="18"/>
            <w:szCs w:val="18"/>
            <w:u w:val="single"/>
          </w:rPr>
          <w:t xml:space="preserve"> finder.com.au</w:t>
        </w:r>
      </w:hyperlink>
      <w:r>
        <w:rPr>
          <w:i/>
          <w:color w:val="777777"/>
          <w:sz w:val="18"/>
          <w:szCs w:val="18"/>
        </w:rPr>
        <w:t xml:space="preserve"> or one of its network sites</w:t>
      </w:r>
      <w:hyperlink r:id="rId17">
        <w:r>
          <w:rPr>
            <w:i/>
            <w:color w:val="777777"/>
            <w:sz w:val="18"/>
            <w:szCs w:val="18"/>
          </w:rPr>
          <w:t xml:space="preserve"> </w:t>
        </w:r>
      </w:hyperlink>
      <w:hyperlink r:id="rId18">
        <w:r>
          <w:rPr>
            <w:i/>
            <w:color w:val="777777"/>
            <w:sz w:val="18"/>
            <w:szCs w:val="18"/>
            <w:u w:val="single"/>
          </w:rPr>
          <w:t>creditcardfinder.com.au</w:t>
        </w:r>
      </w:hyperlink>
      <w:r>
        <w:rPr>
          <w:i/>
          <w:color w:val="777777"/>
          <w:sz w:val="18"/>
          <w:szCs w:val="18"/>
        </w:rPr>
        <w:t xml:space="preserve"> and</w:t>
      </w:r>
      <w:hyperlink r:id="rId19">
        <w:r>
          <w:rPr>
            <w:i/>
            <w:color w:val="777777"/>
            <w:sz w:val="18"/>
            <w:szCs w:val="18"/>
          </w:rPr>
          <w:t xml:space="preserve"> </w:t>
        </w:r>
      </w:hyperlink>
      <w:hyperlink r:id="rId20">
        <w:r>
          <w:rPr>
            <w:i/>
            <w:color w:val="777777"/>
            <w:sz w:val="18"/>
            <w:szCs w:val="18"/>
            <w:u w:val="single"/>
          </w:rPr>
          <w:t>lifeinsurancefinder.com.au</w:t>
        </w:r>
      </w:hyperlink>
      <w:r>
        <w:rPr>
          <w:i/>
          <w:color w:val="777777"/>
          <w:sz w:val="18"/>
          <w:szCs w:val="18"/>
        </w:rPr>
        <w:t xml:space="preserve"> to find better (Source: Google Anal</w:t>
      </w:r>
      <w:r>
        <w:rPr>
          <w:i/>
          <w:color w:val="777777"/>
          <w:sz w:val="18"/>
          <w:szCs w:val="18"/>
        </w:rPr>
        <w:t xml:space="preserve">ytics). </w:t>
      </w:r>
    </w:p>
    <w:p w:rsidR="00643BDC" w:rsidRDefault="00643BDC">
      <w:pPr>
        <w:pStyle w:val="normal0"/>
        <w:widowControl w:val="0"/>
        <w:ind w:left="20"/>
      </w:pPr>
    </w:p>
    <w:p w:rsidR="00C65A30" w:rsidRDefault="00C65A30">
      <w:pPr>
        <w:pStyle w:val="normal0"/>
        <w:widowControl w:val="0"/>
        <w:ind w:left="20"/>
      </w:pPr>
    </w:p>
    <w:p w:rsidR="00C65A30" w:rsidRDefault="00C65A30">
      <w:pPr>
        <w:pStyle w:val="normal0"/>
        <w:widowControl w:val="0"/>
        <w:ind w:left="20"/>
      </w:pPr>
    </w:p>
    <w:p w:rsidR="00C65A30" w:rsidRDefault="00C65A30">
      <w:pPr>
        <w:pStyle w:val="normal0"/>
        <w:widowControl w:val="0"/>
        <w:ind w:left="20"/>
      </w:pPr>
      <w:bookmarkStart w:id="1" w:name="_GoBack"/>
      <w:bookmarkEnd w:id="1"/>
    </w:p>
    <w:p w:rsidR="00643BDC" w:rsidRDefault="00C65A30">
      <w:pPr>
        <w:pStyle w:val="normal0"/>
        <w:widowControl w:val="0"/>
      </w:pPr>
      <w:r>
        <w:rPr>
          <w:b/>
          <w:color w:val="777777"/>
          <w:sz w:val="18"/>
          <w:szCs w:val="18"/>
        </w:rPr>
        <w:t>Disclaimer</w:t>
      </w:r>
      <w:r>
        <w:rPr>
          <w:color w:val="777777"/>
          <w:sz w:val="18"/>
          <w:szCs w:val="18"/>
        </w:rPr>
        <w:t>:</w:t>
      </w:r>
    </w:p>
    <w:p w:rsidR="00643BDC" w:rsidRDefault="00C65A30">
      <w:pPr>
        <w:pStyle w:val="normal0"/>
        <w:widowControl w:val="0"/>
      </w:pPr>
      <w:r>
        <w:rPr>
          <w:i/>
          <w:color w:val="777777"/>
          <w:sz w:val="18"/>
          <w:szCs w:val="18"/>
        </w:rPr>
        <w:t>Hive Empire Pty Ltd (trading as finder.com.au, ABN: 18 118 785 121) provides factual information, general advice and services on financial products as a Corporate Authorised Representative (432664) of Advice Evolution Pty Ltd AFSL 342</w:t>
      </w:r>
      <w:r>
        <w:rPr>
          <w:i/>
          <w:color w:val="777777"/>
          <w:sz w:val="18"/>
          <w:szCs w:val="18"/>
        </w:rPr>
        <w:t xml:space="preserve">880. Please refer to our </w:t>
      </w:r>
      <w:hyperlink r:id="rId21">
        <w:r>
          <w:rPr>
            <w:i/>
            <w:color w:val="777777"/>
            <w:sz w:val="18"/>
            <w:szCs w:val="18"/>
            <w:u w:val="single"/>
          </w:rPr>
          <w:t>FSG</w:t>
        </w:r>
      </w:hyperlink>
      <w:r>
        <w:rPr>
          <w:i/>
          <w:color w:val="777777"/>
          <w:sz w:val="18"/>
          <w:szCs w:val="18"/>
        </w:rPr>
        <w:t xml:space="preserve"> and Credit Licence ACL 385509.  We are also a Corporate Authorised Representative of Countrywide </w:t>
      </w:r>
      <w:proofErr w:type="spellStart"/>
      <w:r>
        <w:rPr>
          <w:i/>
          <w:color w:val="777777"/>
          <w:sz w:val="18"/>
          <w:szCs w:val="18"/>
        </w:rPr>
        <w:t>Tolstrup</w:t>
      </w:r>
      <w:proofErr w:type="spellEnd"/>
      <w:r>
        <w:rPr>
          <w:i/>
          <w:color w:val="777777"/>
          <w:sz w:val="18"/>
          <w:szCs w:val="18"/>
        </w:rPr>
        <w:t xml:space="preserve"> Financial Services Group Pty Lt</w:t>
      </w:r>
      <w:r>
        <w:rPr>
          <w:i/>
          <w:color w:val="777777"/>
          <w:sz w:val="18"/>
          <w:szCs w:val="18"/>
        </w:rPr>
        <w:t xml:space="preserve">d. ABN 51 586 953 292 AFSL 244436 for the provision of online travel insurance. </w:t>
      </w:r>
      <w:proofErr w:type="gramStart"/>
      <w:r>
        <w:rPr>
          <w:i/>
          <w:color w:val="777777"/>
          <w:sz w:val="18"/>
          <w:szCs w:val="18"/>
        </w:rPr>
        <w:t>We are not owned by any Bank</w:t>
      </w:r>
      <w:proofErr w:type="gramEnd"/>
      <w:r>
        <w:rPr>
          <w:i/>
          <w:color w:val="777777"/>
          <w:sz w:val="18"/>
          <w:szCs w:val="18"/>
        </w:rPr>
        <w:t xml:space="preserve"> or Insurer and we are not a product issuer or a credit provider. Although we cover a wide range of products, providers and services we don't cover </w:t>
      </w:r>
      <w:r>
        <w:rPr>
          <w:i/>
          <w:color w:val="777777"/>
          <w:sz w:val="18"/>
          <w:szCs w:val="18"/>
        </w:rPr>
        <w:t>every product, provider or service available in the market. We also don't recommend specific products, services or providers. If you decide to apply for a product or service through our website you will be dealing directly with the provider of that product</w:t>
      </w:r>
      <w:r>
        <w:rPr>
          <w:i/>
          <w:color w:val="777777"/>
          <w:sz w:val="18"/>
          <w:szCs w:val="18"/>
        </w:rPr>
        <w:t xml:space="preserve"> or service and not with us. We recommend consumers understand the Product Disclosure Statements before deciding if a product is right for them (c) 2015.</w:t>
      </w:r>
    </w:p>
    <w:p w:rsidR="00643BDC" w:rsidRDefault="00643BDC">
      <w:pPr>
        <w:pStyle w:val="normal0"/>
        <w:widowControl w:val="0"/>
      </w:pPr>
    </w:p>
    <w:p w:rsidR="00643BDC" w:rsidRDefault="00643BDC">
      <w:pPr>
        <w:pStyle w:val="normal0"/>
      </w:pPr>
    </w:p>
    <w:sectPr w:rsidR="00643BDC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5A30">
      <w:pPr>
        <w:spacing w:line="240" w:lineRule="auto"/>
      </w:pPr>
      <w:r>
        <w:separator/>
      </w:r>
    </w:p>
  </w:endnote>
  <w:endnote w:type="continuationSeparator" w:id="0">
    <w:p w:rsidR="00000000" w:rsidRDefault="00C6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DC" w:rsidRDefault="00643BDC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5A30">
      <w:pPr>
        <w:spacing w:line="240" w:lineRule="auto"/>
      </w:pPr>
      <w:r>
        <w:separator/>
      </w:r>
    </w:p>
  </w:footnote>
  <w:footnote w:type="continuationSeparator" w:id="0">
    <w:p w:rsidR="00000000" w:rsidRDefault="00C65A30">
      <w:pPr>
        <w:spacing w:line="240" w:lineRule="auto"/>
      </w:pPr>
      <w:r>
        <w:continuationSeparator/>
      </w:r>
    </w:p>
  </w:footnote>
  <w:footnote w:id="1">
    <w:p w:rsidR="00643BDC" w:rsidRDefault="00C65A30">
      <w:pPr>
        <w:pStyle w:val="normal0"/>
      </w:pPr>
      <w:r>
        <w:rPr>
          <w:vertAlign w:val="superscript"/>
        </w:rPr>
        <w:footnoteRef/>
      </w:r>
      <w:r>
        <w:rPr>
          <w:color w:val="666666"/>
          <w:sz w:val="18"/>
          <w:szCs w:val="18"/>
        </w:rPr>
        <w:t xml:space="preserve"> Experian </w:t>
      </w:r>
      <w:proofErr w:type="spellStart"/>
      <w:r>
        <w:rPr>
          <w:color w:val="666666"/>
          <w:sz w:val="18"/>
          <w:szCs w:val="18"/>
        </w:rPr>
        <w:t>Hitwise</w:t>
      </w:r>
      <w:proofErr w:type="spellEnd"/>
      <w:r>
        <w:rPr>
          <w:color w:val="666666"/>
          <w:sz w:val="18"/>
          <w:szCs w:val="18"/>
        </w:rPr>
        <w:t xml:space="preserve"> since 2013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DC" w:rsidRDefault="00C65A30">
    <w:pPr>
      <w:pStyle w:val="normal0"/>
      <w:jc w:val="right"/>
    </w:pPr>
    <w:r>
      <w:rPr>
        <w:noProof/>
        <w:lang w:val="en-US"/>
      </w:rPr>
      <w:drawing>
        <wp:inline distT="19050" distB="19050" distL="19050" distR="19050">
          <wp:extent cx="3114675" cy="9429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467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D2772"/>
    <w:multiLevelType w:val="multilevel"/>
    <w:tmpl w:val="FFDAE8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3BDC"/>
    <w:rsid w:val="00643BDC"/>
    <w:rsid w:val="00C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A3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A3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inder.com.au/" TargetMode="External"/><Relationship Id="rId20" Type="http://schemas.openxmlformats.org/officeDocument/2006/relationships/hyperlink" Target="http://www.lifeinsurancefinder.com.au/" TargetMode="External"/><Relationship Id="rId21" Type="http://schemas.openxmlformats.org/officeDocument/2006/relationships/hyperlink" Target="http://www.finder.com.au/resources/Finder-Financial-Services-Guide.pdf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finder.com.au/" TargetMode="External"/><Relationship Id="rId11" Type="http://schemas.openxmlformats.org/officeDocument/2006/relationships/hyperlink" Target="http://finder.com.au/" TargetMode="External"/><Relationship Id="rId12" Type="http://schemas.openxmlformats.org/officeDocument/2006/relationships/hyperlink" Target="http://finder.com.au/" TargetMode="External"/><Relationship Id="rId13" Type="http://schemas.openxmlformats.org/officeDocument/2006/relationships/hyperlink" Target="mailto:Michelle@finder.com.au" TargetMode="External"/><Relationship Id="rId14" Type="http://schemas.openxmlformats.org/officeDocument/2006/relationships/hyperlink" Target="mailto:Bessie.Hassan@finder.com.au" TargetMode="External"/><Relationship Id="rId15" Type="http://schemas.openxmlformats.org/officeDocument/2006/relationships/hyperlink" Target="http://www.finder.com.au/" TargetMode="External"/><Relationship Id="rId16" Type="http://schemas.openxmlformats.org/officeDocument/2006/relationships/hyperlink" Target="http://www.finder.com.au" TargetMode="External"/><Relationship Id="rId17" Type="http://schemas.openxmlformats.org/officeDocument/2006/relationships/hyperlink" Target="http://www.creditcardfinder.com.au/" TargetMode="External"/><Relationship Id="rId18" Type="http://schemas.openxmlformats.org/officeDocument/2006/relationships/hyperlink" Target="http://www.creditcardfinder.com.au/" TargetMode="External"/><Relationship Id="rId19" Type="http://schemas.openxmlformats.org/officeDocument/2006/relationships/hyperlink" Target="http://www.lifeinsurancefinder.com.au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inder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6334</Characters>
  <Application>Microsoft Macintosh Word</Application>
  <DocSecurity>0</DocSecurity>
  <Lines>52</Lines>
  <Paragraphs>14</Paragraphs>
  <ScaleCrop>false</ScaleCrop>
  <Company>Finder.com.au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Hutchison</cp:lastModifiedBy>
  <cp:revision>2</cp:revision>
  <dcterms:created xsi:type="dcterms:W3CDTF">2015-07-31T02:48:00Z</dcterms:created>
  <dcterms:modified xsi:type="dcterms:W3CDTF">2015-07-31T02:48:00Z</dcterms:modified>
</cp:coreProperties>
</file>