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6C77" w:rsidRDefault="00E16C77">
      <w:pPr>
        <w:pStyle w:val="normal0"/>
        <w:ind w:left="0"/>
        <w:contextualSpacing w:val="0"/>
      </w:pPr>
    </w:p>
    <w:tbl>
      <w:tblPr>
        <w:tblStyle w:val="a"/>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57"/>
        <w:gridCol w:w="4957"/>
      </w:tblGrid>
      <w:tr w:rsidR="00E16C77">
        <w:trPr>
          <w:trHeight w:val="2140"/>
        </w:trPr>
        <w:tc>
          <w:tcPr>
            <w:tcW w:w="4957" w:type="dxa"/>
            <w:tcMar>
              <w:top w:w="40" w:type="dxa"/>
              <w:left w:w="40" w:type="dxa"/>
              <w:bottom w:w="40" w:type="dxa"/>
              <w:right w:w="40" w:type="dxa"/>
            </w:tcMar>
          </w:tcPr>
          <w:p w:rsidR="00E16C77" w:rsidRDefault="002F2DAE">
            <w:pPr>
              <w:pStyle w:val="Heading1"/>
              <w:spacing w:line="240" w:lineRule="auto"/>
              <w:contextualSpacing w:val="0"/>
            </w:pPr>
            <w:r>
              <w:rPr>
                <w:rFonts w:ascii="Arial" w:eastAsia="Arial" w:hAnsi="Arial" w:cs="Arial"/>
                <w:i w:val="0"/>
                <w:color w:val="1591FE"/>
                <w:sz w:val="48"/>
                <w:szCs w:val="48"/>
              </w:rPr>
              <w:t>Press release</w:t>
            </w:r>
          </w:p>
          <w:p w:rsidR="00E16C77" w:rsidRDefault="00E16C77">
            <w:pPr>
              <w:pStyle w:val="normal0"/>
              <w:spacing w:line="240" w:lineRule="auto"/>
              <w:ind w:left="0"/>
              <w:contextualSpacing w:val="0"/>
            </w:pPr>
          </w:p>
          <w:p w:rsidR="00E16C77" w:rsidRDefault="002F2DAE">
            <w:pPr>
              <w:pStyle w:val="normal0"/>
              <w:spacing w:line="240" w:lineRule="auto"/>
              <w:ind w:left="0"/>
              <w:contextualSpacing w:val="0"/>
            </w:pPr>
            <w:r>
              <w:rPr>
                <w:rFonts w:ascii="Arial" w:eastAsia="Arial" w:hAnsi="Arial" w:cs="Arial"/>
                <w:b/>
                <w:color w:val="000000"/>
              </w:rPr>
              <w:t>For immediate release</w:t>
            </w:r>
          </w:p>
          <w:p w:rsidR="00E16C77" w:rsidRDefault="002F2DAE">
            <w:pPr>
              <w:pStyle w:val="normal0"/>
              <w:spacing w:line="240" w:lineRule="auto"/>
              <w:ind w:left="0"/>
              <w:contextualSpacing w:val="0"/>
            </w:pPr>
            <w:r>
              <w:rPr>
                <w:rFonts w:ascii="Arial" w:eastAsia="Arial" w:hAnsi="Arial" w:cs="Arial"/>
                <w:color w:val="18304B"/>
              </w:rPr>
              <w:t>July 15, 2015</w:t>
            </w:r>
          </w:p>
          <w:p w:rsidR="00E16C77" w:rsidRDefault="00E16C77">
            <w:pPr>
              <w:pStyle w:val="normal0"/>
              <w:spacing w:line="240" w:lineRule="auto"/>
              <w:ind w:left="0"/>
              <w:contextualSpacing w:val="0"/>
            </w:pPr>
          </w:p>
        </w:tc>
        <w:tc>
          <w:tcPr>
            <w:tcW w:w="4957" w:type="dxa"/>
            <w:shd w:val="clear" w:color="auto" w:fill="E5E5E5"/>
            <w:tcMar>
              <w:top w:w="288" w:type="dxa"/>
              <w:left w:w="288" w:type="dxa"/>
              <w:bottom w:w="288" w:type="dxa"/>
              <w:right w:w="288" w:type="dxa"/>
            </w:tcMar>
          </w:tcPr>
          <w:p w:rsidR="00E16C77" w:rsidRDefault="002F2DAE">
            <w:pPr>
              <w:pStyle w:val="Heading2"/>
              <w:contextualSpacing w:val="0"/>
              <w:jc w:val="right"/>
            </w:pPr>
            <w:r>
              <w:rPr>
                <w:rFonts w:ascii="Arial" w:eastAsia="Arial" w:hAnsi="Arial" w:cs="Arial"/>
                <w:color w:val="777777"/>
              </w:rPr>
              <w:t>Michelle Hutchison</w:t>
            </w:r>
          </w:p>
          <w:p w:rsidR="00E16C77" w:rsidRDefault="002F2DAE">
            <w:pPr>
              <w:pStyle w:val="normal0"/>
              <w:contextualSpacing w:val="0"/>
              <w:jc w:val="right"/>
            </w:pPr>
            <w:r>
              <w:rPr>
                <w:rFonts w:ascii="Arial" w:eastAsia="Arial" w:hAnsi="Arial" w:cs="Arial"/>
                <w:color w:val="777777"/>
                <w:sz w:val="20"/>
                <w:szCs w:val="20"/>
              </w:rPr>
              <w:t>Head of PR &amp; Money Expert</w:t>
            </w:r>
          </w:p>
          <w:p w:rsidR="00E16C77" w:rsidRDefault="002F2DAE">
            <w:pPr>
              <w:pStyle w:val="normal0"/>
              <w:contextualSpacing w:val="0"/>
              <w:jc w:val="right"/>
            </w:pPr>
            <w:proofErr w:type="gramStart"/>
            <w:r>
              <w:rPr>
                <w:rFonts w:ascii="Arial" w:eastAsia="Arial" w:hAnsi="Arial" w:cs="Arial"/>
                <w:color w:val="777777"/>
                <w:sz w:val="20"/>
                <w:szCs w:val="20"/>
              </w:rPr>
              <w:t>finder.com.au</w:t>
            </w:r>
            <w:proofErr w:type="gramEnd"/>
          </w:p>
          <w:p w:rsidR="00E16C77" w:rsidRDefault="002F2DAE">
            <w:pPr>
              <w:pStyle w:val="normal0"/>
              <w:ind w:left="0"/>
              <w:contextualSpacing w:val="0"/>
              <w:jc w:val="right"/>
            </w:pPr>
            <w:r>
              <w:rPr>
                <w:rFonts w:ascii="Arial" w:eastAsia="Arial" w:hAnsi="Arial" w:cs="Arial"/>
                <w:color w:val="777777"/>
                <w:sz w:val="20"/>
                <w:szCs w:val="20"/>
              </w:rPr>
              <w:t>+61403 192 994</w:t>
            </w:r>
          </w:p>
          <w:p w:rsidR="00E16C77" w:rsidRDefault="002F2DAE">
            <w:pPr>
              <w:pStyle w:val="normal0"/>
              <w:ind w:left="0"/>
              <w:contextualSpacing w:val="0"/>
              <w:jc w:val="right"/>
            </w:pPr>
            <w:r>
              <w:rPr>
                <w:rFonts w:ascii="Arial" w:eastAsia="Arial" w:hAnsi="Arial" w:cs="Arial"/>
                <w:color w:val="777777"/>
                <w:sz w:val="20"/>
                <w:szCs w:val="20"/>
              </w:rPr>
              <w:t>+61 2 9299 7602</w:t>
            </w:r>
          </w:p>
          <w:p w:rsidR="00E16C77" w:rsidRDefault="002F2DAE">
            <w:pPr>
              <w:pStyle w:val="normal0"/>
              <w:contextualSpacing w:val="0"/>
              <w:jc w:val="right"/>
            </w:pPr>
            <w:r>
              <w:rPr>
                <w:rFonts w:ascii="Arial" w:eastAsia="Arial" w:hAnsi="Arial" w:cs="Arial"/>
                <w:color w:val="777777"/>
                <w:sz w:val="20"/>
                <w:szCs w:val="20"/>
              </w:rPr>
              <w:t>Michelle@finder.com.au</w:t>
            </w:r>
          </w:p>
        </w:tc>
      </w:tr>
    </w:tbl>
    <w:p w:rsidR="00E16C77" w:rsidRDefault="00E16C77">
      <w:pPr>
        <w:pStyle w:val="normal0"/>
        <w:ind w:left="0"/>
        <w:contextualSpacing w:val="0"/>
      </w:pPr>
    </w:p>
    <w:p w:rsidR="00E16C77" w:rsidRDefault="002F2DAE">
      <w:pPr>
        <w:pStyle w:val="normal0"/>
        <w:ind w:left="0"/>
        <w:contextualSpacing w:val="0"/>
      </w:pPr>
      <w:r>
        <w:rPr>
          <w:rFonts w:ascii="Arial" w:eastAsia="Arial" w:hAnsi="Arial" w:cs="Arial"/>
          <w:b/>
          <w:color w:val="1591FE"/>
          <w:sz w:val="48"/>
          <w:szCs w:val="48"/>
        </w:rPr>
        <w:t>Investing in holiday hot spots in 2015? Sydney should not be on your list</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915"/>
      </w:tblGrid>
      <w:tr w:rsidR="00E16C77">
        <w:tc>
          <w:tcPr>
            <w:tcW w:w="9915" w:type="dxa"/>
            <w:shd w:val="clear" w:color="auto" w:fill="E5E5E5"/>
            <w:tcMar>
              <w:top w:w="288" w:type="dxa"/>
              <w:left w:w="288" w:type="dxa"/>
              <w:bottom w:w="288" w:type="dxa"/>
              <w:right w:w="288" w:type="dxa"/>
            </w:tcMar>
          </w:tcPr>
          <w:p w:rsidR="00E16C77" w:rsidRDefault="002F2DAE">
            <w:pPr>
              <w:pStyle w:val="normal0"/>
              <w:numPr>
                <w:ilvl w:val="0"/>
                <w:numId w:val="1"/>
              </w:numPr>
              <w:spacing w:line="240" w:lineRule="auto"/>
              <w:ind w:hanging="360"/>
              <w:rPr>
                <w:rFonts w:ascii="Arial" w:eastAsia="Arial" w:hAnsi="Arial" w:cs="Arial"/>
                <w:color w:val="000000"/>
                <w:sz w:val="18"/>
                <w:szCs w:val="18"/>
              </w:rPr>
            </w:pPr>
            <w:r>
              <w:fldChar w:fldCharType="begin"/>
            </w:r>
            <w:r>
              <w:instrText xml:space="preserve"> HYPERLINK "http://www.finder.com.au/" \h </w:instrText>
            </w:r>
            <w:r>
              <w:fldChar w:fldCharType="separate"/>
            </w:r>
            <w:r>
              <w:rPr>
                <w:rFonts w:ascii="Arial" w:eastAsia="Arial" w:hAnsi="Arial" w:cs="Arial"/>
                <w:color w:val="1155CC"/>
                <w:sz w:val="18"/>
                <w:szCs w:val="18"/>
                <w:u w:val="single"/>
              </w:rPr>
              <w:t>finder.com.au</w:t>
            </w:r>
            <w:r>
              <w:rPr>
                <w:rFonts w:ascii="Arial" w:eastAsia="Arial" w:hAnsi="Arial" w:cs="Arial"/>
                <w:color w:val="1155CC"/>
                <w:sz w:val="18"/>
                <w:szCs w:val="18"/>
                <w:u w:val="single"/>
              </w:rPr>
              <w:fldChar w:fldCharType="end"/>
            </w:r>
            <w:r>
              <w:rPr>
                <w:rFonts w:ascii="Arial" w:eastAsia="Arial" w:hAnsi="Arial" w:cs="Arial"/>
                <w:color w:val="000000"/>
                <w:sz w:val="18"/>
                <w:szCs w:val="18"/>
              </w:rPr>
              <w:t xml:space="preserve"> lists</w:t>
            </w:r>
            <w:bookmarkStart w:id="0" w:name="_GoBack"/>
            <w:bookmarkEnd w:id="0"/>
            <w:r>
              <w:rPr>
                <w:rFonts w:ascii="Arial" w:eastAsia="Arial" w:hAnsi="Arial" w:cs="Arial"/>
                <w:color w:val="000000"/>
                <w:sz w:val="18"/>
                <w:szCs w:val="18"/>
              </w:rPr>
              <w:t xml:space="preserve"> top Australian holiday cities by their yield</w:t>
            </w:r>
          </w:p>
          <w:p w:rsidR="00E16C77" w:rsidRDefault="002F2DAE">
            <w:pPr>
              <w:pStyle w:val="normal0"/>
              <w:numPr>
                <w:ilvl w:val="0"/>
                <w:numId w:val="1"/>
              </w:numPr>
              <w:spacing w:line="240" w:lineRule="auto"/>
              <w:ind w:hanging="360"/>
              <w:rPr>
                <w:rFonts w:ascii="Arial" w:eastAsia="Arial" w:hAnsi="Arial" w:cs="Arial"/>
                <w:color w:val="000000"/>
                <w:sz w:val="18"/>
                <w:szCs w:val="18"/>
              </w:rPr>
            </w:pPr>
            <w:r>
              <w:rPr>
                <w:rFonts w:ascii="Arial" w:eastAsia="Arial" w:hAnsi="Arial" w:cs="Arial"/>
                <w:color w:val="000000"/>
                <w:sz w:val="18"/>
                <w:szCs w:val="18"/>
              </w:rPr>
              <w:t>Top holiday destinations rank among lowest yields for second consecutive year</w:t>
            </w:r>
          </w:p>
          <w:p w:rsidR="00E16C77" w:rsidRDefault="002F2DAE">
            <w:pPr>
              <w:pStyle w:val="normal0"/>
              <w:numPr>
                <w:ilvl w:val="0"/>
                <w:numId w:val="1"/>
              </w:numPr>
              <w:spacing w:line="240" w:lineRule="auto"/>
              <w:ind w:hanging="360"/>
              <w:rPr>
                <w:rFonts w:ascii="Arial" w:eastAsia="Arial" w:hAnsi="Arial" w:cs="Arial"/>
                <w:color w:val="000000"/>
                <w:sz w:val="18"/>
                <w:szCs w:val="18"/>
              </w:rPr>
            </w:pPr>
            <w:r>
              <w:rPr>
                <w:rFonts w:ascii="Arial" w:eastAsia="Arial" w:hAnsi="Arial" w:cs="Arial"/>
                <w:color w:val="000000"/>
                <w:sz w:val="18"/>
                <w:szCs w:val="18"/>
              </w:rPr>
              <w:t>Property investors warned to look beyond popular holiday spots!</w:t>
            </w:r>
          </w:p>
        </w:tc>
      </w:tr>
    </w:tbl>
    <w:p w:rsidR="00E16C77" w:rsidRDefault="00E16C77">
      <w:pPr>
        <w:pStyle w:val="normal0"/>
        <w:spacing w:line="240" w:lineRule="auto"/>
        <w:ind w:left="0"/>
        <w:contextualSpacing w:val="0"/>
      </w:pPr>
    </w:p>
    <w:p w:rsidR="00E16C77" w:rsidRDefault="002F2DAE">
      <w:pPr>
        <w:pStyle w:val="normal0"/>
        <w:ind w:left="0"/>
        <w:contextualSpacing w:val="0"/>
      </w:pPr>
      <w:r>
        <w:rPr>
          <w:rFonts w:ascii="Arial" w:eastAsia="Arial" w:hAnsi="Arial" w:cs="Arial"/>
          <w:b/>
          <w:color w:val="000000"/>
          <w:sz w:val="22"/>
          <w:szCs w:val="22"/>
        </w:rPr>
        <w:t>July 15, 2015, Sydney</w:t>
      </w:r>
      <w:r>
        <w:rPr>
          <w:rFonts w:ascii="Arial" w:eastAsia="Arial" w:hAnsi="Arial" w:cs="Arial"/>
          <w:color w:val="000000"/>
          <w:sz w:val="22"/>
          <w:szCs w:val="22"/>
        </w:rPr>
        <w:t xml:space="preserve"> – One of Australia’</w:t>
      </w:r>
      <w:r>
        <w:rPr>
          <w:rFonts w:ascii="Arial" w:eastAsia="Arial" w:hAnsi="Arial" w:cs="Arial"/>
          <w:color w:val="000000"/>
          <w:sz w:val="22"/>
          <w:szCs w:val="22"/>
          <w:highlight w:val="white"/>
        </w:rPr>
        <w:t xml:space="preserve">s biggest comparison websites </w:t>
      </w:r>
      <w:hyperlink r:id="rId8">
        <w:r>
          <w:rPr>
            <w:rFonts w:ascii="Arial" w:eastAsia="Arial" w:hAnsi="Arial" w:cs="Arial"/>
            <w:color w:val="1155CC"/>
            <w:sz w:val="22"/>
            <w:szCs w:val="22"/>
            <w:highlight w:val="white"/>
            <w:u w:val="single"/>
          </w:rPr>
          <w:t>finder.com.au</w:t>
        </w:r>
      </w:hyperlink>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is warning property investors to consider avoiding the most popular holiday cities, following new research into the yields of</w:t>
      </w:r>
      <w:r>
        <w:rPr>
          <w:rFonts w:ascii="Arial" w:eastAsia="Arial" w:hAnsi="Arial" w:cs="Arial"/>
          <w:color w:val="000000"/>
          <w:sz w:val="22"/>
          <w:szCs w:val="22"/>
        </w:rPr>
        <w:t xml:space="preserve"> the top Australian travel destinations.</w:t>
      </w:r>
    </w:p>
    <w:p w:rsidR="00E16C77" w:rsidRDefault="00E16C77">
      <w:pPr>
        <w:pStyle w:val="normal0"/>
        <w:ind w:left="0"/>
        <w:contextualSpacing w:val="0"/>
      </w:pPr>
    </w:p>
    <w:p w:rsidR="00E16C77" w:rsidRDefault="002F2DAE">
      <w:pPr>
        <w:pStyle w:val="normal0"/>
        <w:ind w:left="0"/>
        <w:contextualSpacing w:val="0"/>
      </w:pPr>
      <w:r>
        <w:rPr>
          <w:rFonts w:ascii="Arial" w:eastAsia="Arial" w:hAnsi="Arial" w:cs="Arial"/>
          <w:color w:val="000000"/>
          <w:sz w:val="22"/>
          <w:szCs w:val="22"/>
        </w:rPr>
        <w:t xml:space="preserve">For the second consecutive year, </w:t>
      </w:r>
      <w:hyperlink r:id="rId9">
        <w:r>
          <w:rPr>
            <w:rFonts w:ascii="Arial" w:eastAsia="Arial" w:hAnsi="Arial" w:cs="Arial"/>
            <w:color w:val="1155CC"/>
            <w:sz w:val="22"/>
            <w:szCs w:val="22"/>
            <w:u w:val="single"/>
          </w:rPr>
          <w:t>finder.com.au</w:t>
        </w:r>
      </w:hyperlink>
      <w:r>
        <w:rPr>
          <w:rFonts w:ascii="Arial" w:eastAsia="Arial" w:hAnsi="Arial" w:cs="Arial"/>
          <w:color w:val="000000"/>
          <w:sz w:val="22"/>
          <w:szCs w:val="22"/>
        </w:rPr>
        <w:t xml:space="preserve"> analysed </w:t>
      </w:r>
      <w:proofErr w:type="spellStart"/>
      <w:r>
        <w:rPr>
          <w:rFonts w:ascii="Arial" w:eastAsia="Arial" w:hAnsi="Arial" w:cs="Arial"/>
          <w:color w:val="000000"/>
          <w:sz w:val="22"/>
          <w:szCs w:val="22"/>
        </w:rPr>
        <w:t>tripadvisor’s</w:t>
      </w:r>
      <w:proofErr w:type="spellEnd"/>
      <w:r>
        <w:rPr>
          <w:rFonts w:ascii="Arial" w:eastAsia="Arial" w:hAnsi="Arial" w:cs="Arial"/>
          <w:color w:val="000000"/>
          <w:sz w:val="22"/>
          <w:szCs w:val="22"/>
        </w:rPr>
        <w:t xml:space="preserve"> 2015 Traveller’s Choice Awards of the top 10 destinations in Australia. The top destinations once a</w:t>
      </w:r>
      <w:r>
        <w:rPr>
          <w:rFonts w:ascii="Arial" w:eastAsia="Arial" w:hAnsi="Arial" w:cs="Arial"/>
          <w:color w:val="000000"/>
          <w:sz w:val="22"/>
          <w:szCs w:val="22"/>
        </w:rPr>
        <w:t>gain returned among the lowest yields.</w:t>
      </w:r>
    </w:p>
    <w:p w:rsidR="00E16C77" w:rsidRDefault="00E16C77">
      <w:pPr>
        <w:pStyle w:val="normal0"/>
        <w:ind w:left="0"/>
        <w:contextualSpacing w:val="0"/>
      </w:pPr>
    </w:p>
    <w:p w:rsidR="00E16C77" w:rsidRDefault="002F2DAE">
      <w:pPr>
        <w:pStyle w:val="normal0"/>
        <w:ind w:left="0"/>
        <w:contextualSpacing w:val="0"/>
      </w:pPr>
      <w:r>
        <w:rPr>
          <w:rFonts w:ascii="Arial" w:eastAsia="Arial" w:hAnsi="Arial" w:cs="Arial"/>
          <w:color w:val="000000"/>
          <w:sz w:val="22"/>
          <w:szCs w:val="22"/>
        </w:rPr>
        <w:t xml:space="preserve">Sydney, Melbourne and Brisbane all ranked as the top three holiday destinations consecutively, however, they also ranked as the three lowest yields for housing investment, achieving between 1.93-3.29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yield.</w:t>
      </w:r>
    </w:p>
    <w:p w:rsidR="00E16C77" w:rsidRDefault="00E16C77">
      <w:pPr>
        <w:pStyle w:val="normal0"/>
        <w:ind w:left="0"/>
        <w:contextualSpacing w:val="0"/>
      </w:pPr>
    </w:p>
    <w:p w:rsidR="00E16C77" w:rsidRDefault="002F2DAE">
      <w:pPr>
        <w:pStyle w:val="normal0"/>
        <w:ind w:left="0"/>
        <w:contextualSpacing w:val="0"/>
      </w:pPr>
      <w:r>
        <w:rPr>
          <w:rFonts w:ascii="Arial" w:eastAsia="Arial" w:hAnsi="Arial" w:cs="Arial"/>
          <w:color w:val="000000"/>
          <w:sz w:val="22"/>
          <w:szCs w:val="22"/>
        </w:rPr>
        <w:t xml:space="preserve">Despite Sydney holding onto its status as most popular holiday destination, its investment potential has plummeted in the last 12 months. In fact, Sydney is now the lowest value for housing property investment out of the list of 10 cities, with a yield of </w:t>
      </w:r>
      <w:r>
        <w:rPr>
          <w:rFonts w:ascii="Arial" w:eastAsia="Arial" w:hAnsi="Arial" w:cs="Arial"/>
          <w:color w:val="000000"/>
          <w:sz w:val="22"/>
          <w:szCs w:val="22"/>
        </w:rPr>
        <w:t xml:space="preserve">just 1.93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an average rent of $855 per week and median house price of $2.308 million. </w:t>
      </w:r>
    </w:p>
    <w:p w:rsidR="00E16C77" w:rsidRDefault="00E16C77">
      <w:pPr>
        <w:pStyle w:val="normal0"/>
        <w:ind w:left="0"/>
        <w:contextualSpacing w:val="0"/>
      </w:pPr>
    </w:p>
    <w:p w:rsidR="00E16C77" w:rsidRDefault="002F2DAE">
      <w:pPr>
        <w:pStyle w:val="normal0"/>
        <w:ind w:left="0"/>
        <w:contextualSpacing w:val="0"/>
      </w:pPr>
      <w:r>
        <w:rPr>
          <w:rFonts w:ascii="Arial" w:eastAsia="Arial" w:hAnsi="Arial" w:cs="Arial"/>
          <w:color w:val="000000"/>
          <w:sz w:val="22"/>
          <w:szCs w:val="22"/>
        </w:rPr>
        <w:lastRenderedPageBreak/>
        <w:t xml:space="preserve">Last year, Sydney was the second-lowest value for housing property investment, with a yield that dropped by 1.40 percentage points from 3.33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average ho</w:t>
      </w:r>
      <w:r>
        <w:rPr>
          <w:rFonts w:ascii="Arial" w:eastAsia="Arial" w:hAnsi="Arial" w:cs="Arial"/>
          <w:color w:val="000000"/>
          <w:sz w:val="22"/>
          <w:szCs w:val="22"/>
        </w:rPr>
        <w:t xml:space="preserve">using rent dropped by $265 per week from $1,120 per week last year, while the median house price increased by $558,000 from $1.75 million. </w:t>
      </w:r>
    </w:p>
    <w:p w:rsidR="00E16C77" w:rsidRDefault="00E16C77">
      <w:pPr>
        <w:pStyle w:val="normal0"/>
        <w:ind w:left="0"/>
        <w:contextualSpacing w:val="0"/>
      </w:pPr>
    </w:p>
    <w:p w:rsidR="00E16C77" w:rsidRDefault="002F2DAE">
      <w:pPr>
        <w:pStyle w:val="normal0"/>
        <w:ind w:left="0"/>
        <w:contextualSpacing w:val="0"/>
      </w:pPr>
      <w:r>
        <w:rPr>
          <w:rFonts w:ascii="Arial" w:eastAsia="Arial" w:hAnsi="Arial" w:cs="Arial"/>
          <w:color w:val="000000"/>
          <w:sz w:val="22"/>
          <w:szCs w:val="22"/>
        </w:rPr>
        <w:t xml:space="preserve">Sydney also hit low on the list for unit investments, at seventh place, with a yield of 5.26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average rent </w:t>
      </w:r>
      <w:r>
        <w:rPr>
          <w:rFonts w:ascii="Arial" w:eastAsia="Arial" w:hAnsi="Arial" w:cs="Arial"/>
          <w:color w:val="000000"/>
          <w:sz w:val="22"/>
          <w:szCs w:val="22"/>
        </w:rPr>
        <w:t xml:space="preserve">of $760 per week and median unit price of $756,000. Last year, while Sydney was also the top Traveller’s Choice, it has fallen from fourth place for unit investments last year. Its yield was 6.26 </w:t>
      </w:r>
      <w:proofErr w:type="spellStart"/>
      <w:proofErr w:type="gramStart"/>
      <w:r>
        <w:rPr>
          <w:rFonts w:ascii="Arial" w:eastAsia="Arial" w:hAnsi="Arial" w:cs="Arial"/>
          <w:color w:val="000000"/>
          <w:sz w:val="22"/>
          <w:szCs w:val="22"/>
        </w:rPr>
        <w:t>percent</w:t>
      </w:r>
      <w:proofErr w:type="spellEnd"/>
      <w:r>
        <w:rPr>
          <w:rFonts w:ascii="Arial" w:eastAsia="Arial" w:hAnsi="Arial" w:cs="Arial"/>
          <w:color w:val="000000"/>
          <w:sz w:val="22"/>
          <w:szCs w:val="22"/>
        </w:rPr>
        <w:t>,</w:t>
      </w:r>
      <w:proofErr w:type="gramEnd"/>
      <w:r>
        <w:rPr>
          <w:rFonts w:ascii="Arial" w:eastAsia="Arial" w:hAnsi="Arial" w:cs="Arial"/>
          <w:color w:val="000000"/>
          <w:sz w:val="22"/>
          <w:szCs w:val="22"/>
        </w:rPr>
        <w:t xml:space="preserve"> dropping by 1.00 percentage points since then, with</w:t>
      </w:r>
      <w:r>
        <w:rPr>
          <w:rFonts w:ascii="Arial" w:eastAsia="Arial" w:hAnsi="Arial" w:cs="Arial"/>
          <w:color w:val="000000"/>
          <w:sz w:val="22"/>
          <w:szCs w:val="22"/>
        </w:rPr>
        <w:t xml:space="preserve"> a median unit price of $598,000 and average rent was $720 per week.</w:t>
      </w:r>
    </w:p>
    <w:p w:rsidR="00E16C77" w:rsidRDefault="00E16C77">
      <w:pPr>
        <w:pStyle w:val="normal0"/>
        <w:ind w:left="0"/>
        <w:contextualSpacing w:val="0"/>
      </w:pPr>
    </w:p>
    <w:p w:rsidR="00E16C77" w:rsidRDefault="002F2DAE">
      <w:pPr>
        <w:pStyle w:val="normal0"/>
        <w:ind w:left="0"/>
        <w:contextualSpacing w:val="0"/>
      </w:pPr>
      <w:r>
        <w:rPr>
          <w:rFonts w:ascii="Arial" w:eastAsia="Arial" w:hAnsi="Arial" w:cs="Arial"/>
          <w:color w:val="000000"/>
          <w:sz w:val="22"/>
          <w:szCs w:val="22"/>
        </w:rPr>
        <w:t xml:space="preserve">On the flip side, while Cessnock was the 10th most popular holiday destination, it once again topped the list for best housing investment. This is despite its yield dropping by 0.42 percentage points in the past year to 5.89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With a median house pr</w:t>
      </w:r>
      <w:r>
        <w:rPr>
          <w:rFonts w:ascii="Arial" w:eastAsia="Arial" w:hAnsi="Arial" w:cs="Arial"/>
          <w:color w:val="000000"/>
          <w:sz w:val="22"/>
          <w:szCs w:val="22"/>
        </w:rPr>
        <w:t>ice of $269,000 it is the cheapest housing market of the top 10 destinations. Its average rent is $305 per week.</w:t>
      </w:r>
    </w:p>
    <w:p w:rsidR="00E16C77" w:rsidRDefault="00E16C77">
      <w:pPr>
        <w:pStyle w:val="normal0"/>
        <w:ind w:left="0"/>
        <w:contextualSpacing w:val="0"/>
      </w:pPr>
    </w:p>
    <w:p w:rsidR="00E16C77" w:rsidRDefault="002F2DAE">
      <w:pPr>
        <w:pStyle w:val="normal0"/>
        <w:ind w:left="0"/>
        <w:contextualSpacing w:val="0"/>
      </w:pPr>
      <w:r>
        <w:rPr>
          <w:rFonts w:ascii="Arial" w:eastAsia="Arial" w:hAnsi="Arial" w:cs="Arial"/>
          <w:color w:val="000000"/>
          <w:sz w:val="22"/>
          <w:szCs w:val="22"/>
        </w:rPr>
        <w:t>Cessnock’s median house price increased from $255,500 last year and rent dropped slightly from $310 per week in 2014.</w:t>
      </w:r>
    </w:p>
    <w:p w:rsidR="00E16C77" w:rsidRDefault="00E16C77">
      <w:pPr>
        <w:pStyle w:val="normal0"/>
        <w:ind w:left="0"/>
        <w:contextualSpacing w:val="0"/>
      </w:pPr>
    </w:p>
    <w:p w:rsidR="00E16C77" w:rsidRDefault="002F2DAE">
      <w:pPr>
        <w:pStyle w:val="normal0"/>
        <w:ind w:left="0"/>
        <w:contextualSpacing w:val="0"/>
      </w:pPr>
      <w:r>
        <w:rPr>
          <w:rFonts w:ascii="Arial" w:eastAsia="Arial" w:hAnsi="Arial" w:cs="Arial"/>
          <w:color w:val="000000"/>
          <w:sz w:val="22"/>
          <w:szCs w:val="22"/>
        </w:rPr>
        <w:t>Port Douglas has once m</w:t>
      </w:r>
      <w:r>
        <w:rPr>
          <w:rFonts w:ascii="Arial" w:eastAsia="Arial" w:hAnsi="Arial" w:cs="Arial"/>
          <w:color w:val="000000"/>
          <w:sz w:val="22"/>
          <w:szCs w:val="22"/>
        </w:rPr>
        <w:t xml:space="preserve">ore topped the list for units with the highest yield of 7.45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as well as the lowest median unit price of $204,000 and average rent per week $290. Last year when it topped the list for highest yield, it was 7.7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with a median price of $184,000</w:t>
      </w:r>
      <w:r>
        <w:rPr>
          <w:rFonts w:ascii="Arial" w:eastAsia="Arial" w:hAnsi="Arial" w:cs="Arial"/>
          <w:color w:val="000000"/>
          <w:sz w:val="22"/>
          <w:szCs w:val="22"/>
        </w:rPr>
        <w:t xml:space="preserve"> and $275 average rent per week.</w:t>
      </w:r>
    </w:p>
    <w:p w:rsidR="00E16C77" w:rsidRDefault="00E16C77">
      <w:pPr>
        <w:pStyle w:val="normal0"/>
        <w:ind w:left="0"/>
        <w:contextualSpacing w:val="0"/>
      </w:pPr>
    </w:p>
    <w:p w:rsidR="00E16C77" w:rsidRDefault="002F2DAE">
      <w:pPr>
        <w:pStyle w:val="normal0"/>
        <w:ind w:left="0"/>
        <w:contextualSpacing w:val="0"/>
      </w:pPr>
      <w:r>
        <w:rPr>
          <w:rFonts w:ascii="Arial" w:eastAsia="Arial" w:hAnsi="Arial" w:cs="Arial"/>
          <w:color w:val="000000"/>
          <w:sz w:val="22"/>
          <w:szCs w:val="22"/>
        </w:rPr>
        <w:t xml:space="preserve">Michelle Hutchison, Money Expert at </w:t>
      </w:r>
      <w:hyperlink r:id="rId10">
        <w:r>
          <w:rPr>
            <w:rFonts w:ascii="Arial" w:eastAsia="Arial" w:hAnsi="Arial" w:cs="Arial"/>
            <w:color w:val="1155CC"/>
            <w:sz w:val="22"/>
            <w:szCs w:val="22"/>
            <w:u w:val="single"/>
          </w:rPr>
          <w:t>finder.com.au</w:t>
        </w:r>
      </w:hyperlink>
      <w:r>
        <w:rPr>
          <w:rFonts w:ascii="Arial" w:eastAsia="Arial" w:hAnsi="Arial" w:cs="Arial"/>
          <w:color w:val="000000"/>
          <w:sz w:val="22"/>
          <w:szCs w:val="22"/>
        </w:rPr>
        <w:t xml:space="preserve">, </w:t>
      </w:r>
      <w:proofErr w:type="gramStart"/>
      <w:r>
        <w:rPr>
          <w:rFonts w:ascii="Arial" w:eastAsia="Arial" w:hAnsi="Arial" w:cs="Arial"/>
          <w:color w:val="000000"/>
          <w:sz w:val="22"/>
          <w:szCs w:val="22"/>
        </w:rPr>
        <w:t>said</w:t>
      </w:r>
      <w:proofErr w:type="gramEnd"/>
      <w:r>
        <w:rPr>
          <w:rFonts w:ascii="Arial" w:eastAsia="Arial" w:hAnsi="Arial" w:cs="Arial"/>
          <w:color w:val="000000"/>
          <w:sz w:val="22"/>
          <w:szCs w:val="22"/>
        </w:rPr>
        <w:t xml:space="preserve"> </w:t>
      </w:r>
      <w:proofErr w:type="gramStart"/>
      <w:r>
        <w:rPr>
          <w:rFonts w:ascii="Arial" w:eastAsia="Arial" w:hAnsi="Arial" w:cs="Arial"/>
          <w:color w:val="000000"/>
          <w:sz w:val="22"/>
          <w:szCs w:val="22"/>
        </w:rPr>
        <w:t>property investors need</w:t>
      </w:r>
      <w:proofErr w:type="gramEnd"/>
      <w:r>
        <w:rPr>
          <w:rFonts w:ascii="Arial" w:eastAsia="Arial" w:hAnsi="Arial" w:cs="Arial"/>
          <w:color w:val="000000"/>
          <w:sz w:val="22"/>
          <w:szCs w:val="22"/>
        </w:rPr>
        <w:t xml:space="preserve"> to be wary of popular travel spots.</w:t>
      </w:r>
    </w:p>
    <w:p w:rsidR="00E16C77" w:rsidRDefault="00E16C77">
      <w:pPr>
        <w:pStyle w:val="normal0"/>
        <w:ind w:left="0"/>
        <w:contextualSpacing w:val="0"/>
      </w:pPr>
    </w:p>
    <w:p w:rsidR="00E16C77" w:rsidRDefault="002F2DAE">
      <w:pPr>
        <w:pStyle w:val="normal0"/>
        <w:ind w:left="0"/>
        <w:contextualSpacing w:val="0"/>
      </w:pPr>
      <w:r>
        <w:rPr>
          <w:rFonts w:ascii="Arial" w:eastAsia="Arial" w:hAnsi="Arial" w:cs="Arial"/>
          <w:color w:val="000000"/>
          <w:sz w:val="22"/>
          <w:szCs w:val="22"/>
        </w:rPr>
        <w:t>“For the second year in a row, we’ve seen the busiest travel</w:t>
      </w:r>
      <w:r>
        <w:rPr>
          <w:rFonts w:ascii="Arial" w:eastAsia="Arial" w:hAnsi="Arial" w:cs="Arial"/>
          <w:color w:val="000000"/>
          <w:sz w:val="22"/>
          <w:szCs w:val="22"/>
        </w:rPr>
        <w:t xml:space="preserve"> spots return some of the lowest yields for investors because their demand causes high property values that outpaces their rental prices. This could potentially mean a bad investment decision.</w:t>
      </w:r>
    </w:p>
    <w:p w:rsidR="00E16C77" w:rsidRDefault="00E16C77">
      <w:pPr>
        <w:pStyle w:val="normal0"/>
        <w:ind w:left="0"/>
        <w:contextualSpacing w:val="0"/>
      </w:pPr>
    </w:p>
    <w:p w:rsidR="00E16C77" w:rsidRDefault="002F2DAE">
      <w:pPr>
        <w:pStyle w:val="normal0"/>
        <w:ind w:left="0"/>
        <w:contextualSpacing w:val="0"/>
      </w:pPr>
      <w:r>
        <w:rPr>
          <w:rFonts w:ascii="Arial" w:eastAsia="Arial" w:hAnsi="Arial" w:cs="Arial"/>
          <w:color w:val="000000"/>
          <w:sz w:val="22"/>
          <w:szCs w:val="22"/>
        </w:rPr>
        <w:t>“Property investors need to do their research when comparing i</w:t>
      </w:r>
      <w:r>
        <w:rPr>
          <w:rFonts w:ascii="Arial" w:eastAsia="Arial" w:hAnsi="Arial" w:cs="Arial"/>
          <w:color w:val="000000"/>
          <w:sz w:val="22"/>
          <w:szCs w:val="22"/>
        </w:rPr>
        <w:t xml:space="preserve">nvestment property hot spots, including the potential return on their investments. And the return on a property can be massively impacted by the investment home loan, so investors need to spend as much time comparing investment locations as the best value </w:t>
      </w:r>
      <w:r>
        <w:rPr>
          <w:rFonts w:ascii="Arial" w:eastAsia="Arial" w:hAnsi="Arial" w:cs="Arial"/>
          <w:color w:val="000000"/>
          <w:sz w:val="22"/>
          <w:szCs w:val="22"/>
        </w:rPr>
        <w:t>investment home loans to maximise their return.”</w:t>
      </w:r>
    </w:p>
    <w:p w:rsidR="00E16C77" w:rsidRDefault="00E16C77">
      <w:pPr>
        <w:pStyle w:val="normal0"/>
        <w:ind w:left="0"/>
        <w:contextualSpacing w:val="0"/>
      </w:pPr>
    </w:p>
    <w:p w:rsidR="00E16C77" w:rsidRDefault="002F2DAE">
      <w:pPr>
        <w:pStyle w:val="normal0"/>
        <w:ind w:left="0"/>
        <w:contextualSpacing w:val="0"/>
      </w:pPr>
      <w:r>
        <w:rPr>
          <w:rFonts w:ascii="Arial" w:eastAsia="Arial" w:hAnsi="Arial" w:cs="Arial"/>
          <w:color w:val="000000"/>
          <w:sz w:val="22"/>
          <w:szCs w:val="22"/>
        </w:rPr>
        <w:t xml:space="preserve">Margaret River in Western Australia entered the top 10 travel destinations this year and ranked second in yield for houses with a return of 4.54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Margaret River also had the second lowest median hou</w:t>
      </w:r>
      <w:r>
        <w:rPr>
          <w:rFonts w:ascii="Arial" w:eastAsia="Arial" w:hAnsi="Arial" w:cs="Arial"/>
          <w:color w:val="000000"/>
          <w:sz w:val="22"/>
          <w:szCs w:val="22"/>
        </w:rPr>
        <w:t xml:space="preserve">sing price of $482,500. Adelaide, Cairns and Noosa also made the list. Popular travel destinations that were on the list last year and bumped this year were Canberra, Airlie Beach, Darwin </w:t>
      </w:r>
      <w:r>
        <w:rPr>
          <w:rFonts w:ascii="Arial" w:eastAsia="Arial" w:hAnsi="Arial" w:cs="Arial"/>
          <w:color w:val="000000"/>
          <w:sz w:val="22"/>
          <w:szCs w:val="22"/>
        </w:rPr>
        <w:lastRenderedPageBreak/>
        <w:t>and Byron Bay.</w:t>
      </w:r>
    </w:p>
    <w:p w:rsidR="00E16C77" w:rsidRDefault="00E16C77">
      <w:pPr>
        <w:pStyle w:val="normal0"/>
        <w:ind w:left="0"/>
        <w:contextualSpacing w:val="0"/>
      </w:pPr>
    </w:p>
    <w:p w:rsidR="00E16C77" w:rsidRDefault="002F2DAE">
      <w:pPr>
        <w:pStyle w:val="normal0"/>
        <w:ind w:left="0"/>
        <w:contextualSpacing w:val="0"/>
      </w:pPr>
      <w:proofErr w:type="spellStart"/>
      <w:proofErr w:type="gramStart"/>
      <w:r>
        <w:rPr>
          <w:rFonts w:ascii="Arial" w:eastAsia="Arial" w:hAnsi="Arial" w:cs="Arial"/>
          <w:b/>
          <w:color w:val="000000"/>
          <w:sz w:val="22"/>
          <w:szCs w:val="22"/>
        </w:rPr>
        <w:t>finder.com.au’s</w:t>
      </w:r>
      <w:proofErr w:type="spellEnd"/>
      <w:proofErr w:type="gramEnd"/>
      <w:r>
        <w:rPr>
          <w:rFonts w:ascii="Arial" w:eastAsia="Arial" w:hAnsi="Arial" w:cs="Arial"/>
          <w:b/>
          <w:color w:val="000000"/>
          <w:sz w:val="22"/>
          <w:szCs w:val="22"/>
        </w:rPr>
        <w:t xml:space="preserve"> top investment holiday hotspots: Houses</w:t>
      </w:r>
    </w:p>
    <w:tbl>
      <w:tblPr>
        <w:tblStyle w:val="a1"/>
        <w:tblW w:w="9915" w:type="dxa"/>
        <w:tblLayout w:type="fixed"/>
        <w:tblLook w:val="0600" w:firstRow="0" w:lastRow="0" w:firstColumn="0" w:lastColumn="0" w:noHBand="1" w:noVBand="1"/>
      </w:tblPr>
      <w:tblGrid>
        <w:gridCol w:w="2865"/>
        <w:gridCol w:w="2100"/>
        <w:gridCol w:w="1800"/>
        <w:gridCol w:w="1995"/>
        <w:gridCol w:w="1155"/>
      </w:tblGrid>
      <w:tr w:rsidR="00E16C77">
        <w:trPr>
          <w:trHeight w:val="480"/>
        </w:trPr>
        <w:tc>
          <w:tcPr>
            <w:tcW w:w="2865" w:type="dxa"/>
            <w:shd w:val="clear" w:color="auto" w:fill="18304B"/>
            <w:tcMar>
              <w:top w:w="100" w:type="dxa"/>
              <w:left w:w="100" w:type="dxa"/>
              <w:bottom w:w="100" w:type="dxa"/>
              <w:right w:w="100" w:type="dxa"/>
            </w:tcMar>
          </w:tcPr>
          <w:p w:rsidR="00E16C77" w:rsidRDefault="002F2DAE">
            <w:pPr>
              <w:pStyle w:val="normal0"/>
              <w:spacing w:line="240" w:lineRule="auto"/>
              <w:ind w:left="0"/>
              <w:contextualSpacing w:val="0"/>
              <w:jc w:val="center"/>
            </w:pPr>
            <w:r>
              <w:rPr>
                <w:rFonts w:ascii="Arial" w:eastAsia="Arial" w:hAnsi="Arial" w:cs="Arial"/>
                <w:b/>
                <w:color w:val="FFFFFF"/>
                <w:sz w:val="22"/>
                <w:szCs w:val="22"/>
              </w:rPr>
              <w:t>Holiday destinations</w:t>
            </w:r>
          </w:p>
        </w:tc>
        <w:tc>
          <w:tcPr>
            <w:tcW w:w="2100" w:type="dxa"/>
            <w:shd w:val="clear" w:color="auto" w:fill="18304B"/>
            <w:tcMar>
              <w:top w:w="100" w:type="dxa"/>
              <w:left w:w="100" w:type="dxa"/>
              <w:bottom w:w="100" w:type="dxa"/>
              <w:right w:w="100" w:type="dxa"/>
            </w:tcMar>
          </w:tcPr>
          <w:p w:rsidR="00E16C77" w:rsidRDefault="002F2DAE">
            <w:pPr>
              <w:pStyle w:val="normal0"/>
              <w:spacing w:line="240" w:lineRule="auto"/>
              <w:ind w:left="0"/>
              <w:contextualSpacing w:val="0"/>
              <w:jc w:val="center"/>
            </w:pPr>
            <w:r>
              <w:rPr>
                <w:rFonts w:ascii="Arial" w:eastAsia="Arial" w:hAnsi="Arial" w:cs="Arial"/>
                <w:b/>
                <w:color w:val="FFFFFF"/>
                <w:sz w:val="22"/>
                <w:szCs w:val="22"/>
              </w:rPr>
              <w:t>Median house price</w:t>
            </w:r>
          </w:p>
        </w:tc>
        <w:tc>
          <w:tcPr>
            <w:tcW w:w="1800" w:type="dxa"/>
            <w:shd w:val="clear" w:color="auto" w:fill="18304B"/>
            <w:tcMar>
              <w:top w:w="100" w:type="dxa"/>
              <w:left w:w="100" w:type="dxa"/>
              <w:bottom w:w="100" w:type="dxa"/>
              <w:right w:w="100" w:type="dxa"/>
            </w:tcMar>
          </w:tcPr>
          <w:p w:rsidR="00E16C77" w:rsidRDefault="002F2DAE">
            <w:pPr>
              <w:pStyle w:val="normal0"/>
              <w:spacing w:line="240" w:lineRule="auto"/>
              <w:ind w:left="0"/>
              <w:contextualSpacing w:val="0"/>
              <w:jc w:val="center"/>
            </w:pPr>
            <w:r>
              <w:rPr>
                <w:rFonts w:ascii="Arial" w:eastAsia="Arial" w:hAnsi="Arial" w:cs="Arial"/>
                <w:b/>
                <w:color w:val="FFFFFF"/>
                <w:sz w:val="22"/>
                <w:szCs w:val="22"/>
              </w:rPr>
              <w:t>Median rent per week</w:t>
            </w:r>
          </w:p>
        </w:tc>
        <w:tc>
          <w:tcPr>
            <w:tcW w:w="1995" w:type="dxa"/>
            <w:shd w:val="clear" w:color="auto" w:fill="18304B"/>
            <w:tcMar>
              <w:top w:w="100" w:type="dxa"/>
              <w:left w:w="100" w:type="dxa"/>
              <w:bottom w:w="100" w:type="dxa"/>
              <w:right w:w="100" w:type="dxa"/>
            </w:tcMar>
          </w:tcPr>
          <w:p w:rsidR="00E16C77" w:rsidRDefault="002F2DAE">
            <w:pPr>
              <w:pStyle w:val="normal0"/>
              <w:spacing w:line="240" w:lineRule="auto"/>
              <w:ind w:left="0"/>
              <w:contextualSpacing w:val="0"/>
              <w:jc w:val="center"/>
            </w:pPr>
            <w:r>
              <w:rPr>
                <w:rFonts w:ascii="Arial" w:eastAsia="Arial" w:hAnsi="Arial" w:cs="Arial"/>
                <w:b/>
                <w:color w:val="FFFFFF"/>
                <w:sz w:val="22"/>
                <w:szCs w:val="22"/>
              </w:rPr>
              <w:t>Yield</w:t>
            </w:r>
          </w:p>
        </w:tc>
        <w:tc>
          <w:tcPr>
            <w:tcW w:w="1155" w:type="dxa"/>
            <w:shd w:val="clear" w:color="auto" w:fill="18304B"/>
            <w:tcMar>
              <w:top w:w="56" w:type="dxa"/>
              <w:left w:w="56" w:type="dxa"/>
              <w:bottom w:w="56" w:type="dxa"/>
              <w:right w:w="56" w:type="dxa"/>
            </w:tcMar>
          </w:tcPr>
          <w:p w:rsidR="00E16C77" w:rsidRDefault="002F2DAE">
            <w:pPr>
              <w:pStyle w:val="normal0"/>
              <w:spacing w:line="240" w:lineRule="auto"/>
              <w:ind w:left="0"/>
              <w:contextualSpacing w:val="0"/>
              <w:jc w:val="right"/>
            </w:pPr>
            <w:r>
              <w:rPr>
                <w:noProof/>
                <w:lang w:val="en-US"/>
              </w:rPr>
              <w:drawing>
                <wp:inline distT="114300" distB="114300" distL="114300" distR="114300">
                  <wp:extent cx="606136" cy="1905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rcRect/>
                          <a:stretch>
                            <a:fillRect/>
                          </a:stretch>
                        </pic:blipFill>
                        <pic:spPr>
                          <a:xfrm>
                            <a:off x="0" y="0"/>
                            <a:ext cx="606136" cy="190500"/>
                          </a:xfrm>
                          <a:prstGeom prst="rect">
                            <a:avLst/>
                          </a:prstGeom>
                          <a:ln/>
                        </pic:spPr>
                      </pic:pic>
                    </a:graphicData>
                  </a:graphic>
                </wp:inline>
              </w:drawing>
            </w:r>
          </w:p>
        </w:tc>
      </w:tr>
      <w:tr w:rsidR="00E16C77">
        <w:tc>
          <w:tcPr>
            <w:tcW w:w="2865"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b/>
                <w:color w:val="262626"/>
                <w:sz w:val="20"/>
                <w:szCs w:val="20"/>
              </w:rPr>
              <w:t>Cessnock</w:t>
            </w:r>
          </w:p>
        </w:tc>
        <w:tc>
          <w:tcPr>
            <w:tcW w:w="2100"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$269,000</w:t>
            </w:r>
          </w:p>
        </w:tc>
        <w:tc>
          <w:tcPr>
            <w:tcW w:w="1800"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$305</w:t>
            </w:r>
          </w:p>
        </w:tc>
        <w:tc>
          <w:tcPr>
            <w:tcW w:w="1995"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5.89%</w:t>
            </w:r>
          </w:p>
        </w:tc>
        <w:tc>
          <w:tcPr>
            <w:tcW w:w="1155" w:type="dxa"/>
            <w:shd w:val="clear" w:color="auto" w:fill="E5E5E5"/>
            <w:tcMar>
              <w:top w:w="100" w:type="dxa"/>
              <w:left w:w="100" w:type="dxa"/>
              <w:bottom w:w="100" w:type="dxa"/>
              <w:right w:w="100" w:type="dxa"/>
            </w:tcMar>
          </w:tcPr>
          <w:p w:rsidR="00E16C77" w:rsidRDefault="00E16C77">
            <w:pPr>
              <w:pStyle w:val="normal0"/>
              <w:spacing w:line="240" w:lineRule="auto"/>
              <w:ind w:left="0"/>
              <w:contextualSpacing w:val="0"/>
            </w:pPr>
          </w:p>
        </w:tc>
      </w:tr>
      <w:tr w:rsidR="00E16C77">
        <w:tc>
          <w:tcPr>
            <w:tcW w:w="2865"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b/>
                <w:color w:val="262626"/>
                <w:sz w:val="20"/>
                <w:szCs w:val="20"/>
              </w:rPr>
              <w:t>Margaret River</w:t>
            </w:r>
          </w:p>
        </w:tc>
        <w:tc>
          <w:tcPr>
            <w:tcW w:w="2100"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$482,500</w:t>
            </w:r>
          </w:p>
        </w:tc>
        <w:tc>
          <w:tcPr>
            <w:tcW w:w="1800"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$420</w:t>
            </w:r>
          </w:p>
        </w:tc>
        <w:tc>
          <w:tcPr>
            <w:tcW w:w="1995"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4.54%</w:t>
            </w:r>
          </w:p>
        </w:tc>
        <w:tc>
          <w:tcPr>
            <w:tcW w:w="1155" w:type="dxa"/>
            <w:shd w:val="clear" w:color="auto" w:fill="D8D8D8"/>
            <w:tcMar>
              <w:top w:w="100" w:type="dxa"/>
              <w:left w:w="100" w:type="dxa"/>
              <w:bottom w:w="100" w:type="dxa"/>
              <w:right w:w="100" w:type="dxa"/>
            </w:tcMar>
          </w:tcPr>
          <w:p w:rsidR="00E16C77" w:rsidRDefault="00E16C77">
            <w:pPr>
              <w:pStyle w:val="normal0"/>
              <w:spacing w:line="240" w:lineRule="auto"/>
              <w:ind w:left="0"/>
              <w:contextualSpacing w:val="0"/>
            </w:pPr>
          </w:p>
        </w:tc>
      </w:tr>
      <w:tr w:rsidR="00E16C77">
        <w:tc>
          <w:tcPr>
            <w:tcW w:w="2865"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b/>
                <w:color w:val="262626"/>
                <w:sz w:val="20"/>
                <w:szCs w:val="20"/>
              </w:rPr>
              <w:t>Adelaide</w:t>
            </w:r>
          </w:p>
        </w:tc>
        <w:tc>
          <w:tcPr>
            <w:tcW w:w="2100"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$568,500</w:t>
            </w:r>
          </w:p>
        </w:tc>
        <w:tc>
          <w:tcPr>
            <w:tcW w:w="1800"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$485</w:t>
            </w:r>
          </w:p>
        </w:tc>
        <w:tc>
          <w:tcPr>
            <w:tcW w:w="1995"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4.47%</w:t>
            </w:r>
          </w:p>
        </w:tc>
        <w:tc>
          <w:tcPr>
            <w:tcW w:w="1155" w:type="dxa"/>
            <w:shd w:val="clear" w:color="auto" w:fill="E5E5E5"/>
            <w:tcMar>
              <w:top w:w="100" w:type="dxa"/>
              <w:left w:w="100" w:type="dxa"/>
              <w:bottom w:w="100" w:type="dxa"/>
              <w:right w:w="100" w:type="dxa"/>
            </w:tcMar>
          </w:tcPr>
          <w:p w:rsidR="00E16C77" w:rsidRDefault="00E16C77">
            <w:pPr>
              <w:pStyle w:val="normal0"/>
              <w:spacing w:line="240" w:lineRule="auto"/>
              <w:ind w:left="0"/>
              <w:contextualSpacing w:val="0"/>
            </w:pPr>
          </w:p>
        </w:tc>
      </w:tr>
      <w:tr w:rsidR="00E16C77">
        <w:tc>
          <w:tcPr>
            <w:tcW w:w="2865"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b/>
                <w:color w:val="262626"/>
                <w:sz w:val="20"/>
                <w:szCs w:val="20"/>
              </w:rPr>
              <w:t>Hobart</w:t>
            </w:r>
          </w:p>
        </w:tc>
        <w:tc>
          <w:tcPr>
            <w:tcW w:w="2100"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$521,000</w:t>
            </w:r>
          </w:p>
        </w:tc>
        <w:tc>
          <w:tcPr>
            <w:tcW w:w="1800"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$445</w:t>
            </w:r>
          </w:p>
        </w:tc>
        <w:tc>
          <w:tcPr>
            <w:tcW w:w="1995"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4.46%</w:t>
            </w:r>
          </w:p>
        </w:tc>
        <w:tc>
          <w:tcPr>
            <w:tcW w:w="1155" w:type="dxa"/>
            <w:shd w:val="clear" w:color="auto" w:fill="D8D8D8"/>
            <w:tcMar>
              <w:top w:w="100" w:type="dxa"/>
              <w:left w:w="100" w:type="dxa"/>
              <w:bottom w:w="100" w:type="dxa"/>
              <w:right w:w="100" w:type="dxa"/>
            </w:tcMar>
          </w:tcPr>
          <w:p w:rsidR="00E16C77" w:rsidRDefault="00E16C77">
            <w:pPr>
              <w:pStyle w:val="normal0"/>
              <w:spacing w:line="240" w:lineRule="auto"/>
              <w:ind w:left="0"/>
              <w:contextualSpacing w:val="0"/>
            </w:pPr>
          </w:p>
        </w:tc>
      </w:tr>
      <w:tr w:rsidR="00E16C77">
        <w:tc>
          <w:tcPr>
            <w:tcW w:w="2865"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b/>
                <w:color w:val="262626"/>
                <w:sz w:val="20"/>
                <w:szCs w:val="20"/>
              </w:rPr>
              <w:t>Cairns</w:t>
            </w:r>
          </w:p>
        </w:tc>
        <w:tc>
          <w:tcPr>
            <w:tcW w:w="2100"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$551,000</w:t>
            </w:r>
          </w:p>
        </w:tc>
        <w:tc>
          <w:tcPr>
            <w:tcW w:w="1800"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$460</w:t>
            </w:r>
          </w:p>
        </w:tc>
        <w:tc>
          <w:tcPr>
            <w:tcW w:w="1995"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4.34%</w:t>
            </w:r>
          </w:p>
        </w:tc>
        <w:tc>
          <w:tcPr>
            <w:tcW w:w="1155" w:type="dxa"/>
            <w:shd w:val="clear" w:color="auto" w:fill="E5E5E5"/>
            <w:tcMar>
              <w:top w:w="100" w:type="dxa"/>
              <w:left w:w="100" w:type="dxa"/>
              <w:bottom w:w="100" w:type="dxa"/>
              <w:right w:w="100" w:type="dxa"/>
            </w:tcMar>
          </w:tcPr>
          <w:p w:rsidR="00E16C77" w:rsidRDefault="00E16C77">
            <w:pPr>
              <w:pStyle w:val="normal0"/>
              <w:spacing w:line="240" w:lineRule="auto"/>
              <w:ind w:left="0"/>
              <w:contextualSpacing w:val="0"/>
            </w:pPr>
          </w:p>
        </w:tc>
      </w:tr>
      <w:tr w:rsidR="00E16C77">
        <w:tc>
          <w:tcPr>
            <w:tcW w:w="2865"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b/>
                <w:color w:val="262626"/>
                <w:sz w:val="20"/>
                <w:szCs w:val="20"/>
              </w:rPr>
              <w:t>Noosa</w:t>
            </w:r>
          </w:p>
        </w:tc>
        <w:tc>
          <w:tcPr>
            <w:tcW w:w="2100"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$695,500</w:t>
            </w:r>
          </w:p>
        </w:tc>
        <w:tc>
          <w:tcPr>
            <w:tcW w:w="1800"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$575</w:t>
            </w:r>
          </w:p>
        </w:tc>
        <w:tc>
          <w:tcPr>
            <w:tcW w:w="1995"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4.34%</w:t>
            </w:r>
          </w:p>
        </w:tc>
        <w:tc>
          <w:tcPr>
            <w:tcW w:w="1155" w:type="dxa"/>
            <w:shd w:val="clear" w:color="auto" w:fill="D8D8D8"/>
            <w:tcMar>
              <w:top w:w="100" w:type="dxa"/>
              <w:left w:w="100" w:type="dxa"/>
              <w:bottom w:w="100" w:type="dxa"/>
              <w:right w:w="100" w:type="dxa"/>
            </w:tcMar>
          </w:tcPr>
          <w:p w:rsidR="00E16C77" w:rsidRDefault="00E16C77">
            <w:pPr>
              <w:pStyle w:val="normal0"/>
              <w:spacing w:line="240" w:lineRule="auto"/>
              <w:ind w:left="0"/>
              <w:contextualSpacing w:val="0"/>
            </w:pPr>
          </w:p>
        </w:tc>
      </w:tr>
      <w:tr w:rsidR="00E16C77">
        <w:tc>
          <w:tcPr>
            <w:tcW w:w="2865"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b/>
                <w:color w:val="262626"/>
                <w:sz w:val="20"/>
                <w:szCs w:val="20"/>
              </w:rPr>
              <w:t>Port Douglas</w:t>
            </w:r>
          </w:p>
        </w:tc>
        <w:tc>
          <w:tcPr>
            <w:tcW w:w="2100"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$604,000</w:t>
            </w:r>
          </w:p>
        </w:tc>
        <w:tc>
          <w:tcPr>
            <w:tcW w:w="1800"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$495</w:t>
            </w:r>
          </w:p>
        </w:tc>
        <w:tc>
          <w:tcPr>
            <w:tcW w:w="1995"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4.29%</w:t>
            </w:r>
          </w:p>
        </w:tc>
        <w:tc>
          <w:tcPr>
            <w:tcW w:w="1155" w:type="dxa"/>
            <w:shd w:val="clear" w:color="auto" w:fill="E5E5E5"/>
            <w:tcMar>
              <w:top w:w="100" w:type="dxa"/>
              <w:left w:w="100" w:type="dxa"/>
              <w:bottom w:w="100" w:type="dxa"/>
              <w:right w:w="100" w:type="dxa"/>
            </w:tcMar>
          </w:tcPr>
          <w:p w:rsidR="00E16C77" w:rsidRDefault="00E16C77">
            <w:pPr>
              <w:pStyle w:val="normal0"/>
              <w:spacing w:line="240" w:lineRule="auto"/>
              <w:ind w:left="0"/>
              <w:contextualSpacing w:val="0"/>
            </w:pPr>
          </w:p>
        </w:tc>
      </w:tr>
      <w:tr w:rsidR="00E16C77">
        <w:tc>
          <w:tcPr>
            <w:tcW w:w="2865"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b/>
                <w:color w:val="262626"/>
                <w:sz w:val="20"/>
                <w:szCs w:val="20"/>
              </w:rPr>
              <w:t>Melbourne</w:t>
            </w:r>
          </w:p>
        </w:tc>
        <w:tc>
          <w:tcPr>
            <w:tcW w:w="2100"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$1,054,500</w:t>
            </w:r>
          </w:p>
        </w:tc>
        <w:tc>
          <w:tcPr>
            <w:tcW w:w="1800"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$665</w:t>
            </w:r>
          </w:p>
        </w:tc>
        <w:tc>
          <w:tcPr>
            <w:tcW w:w="1995"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3.29%</w:t>
            </w:r>
          </w:p>
        </w:tc>
        <w:tc>
          <w:tcPr>
            <w:tcW w:w="1155" w:type="dxa"/>
            <w:shd w:val="clear" w:color="auto" w:fill="D8D8D8"/>
            <w:tcMar>
              <w:top w:w="100" w:type="dxa"/>
              <w:left w:w="100" w:type="dxa"/>
              <w:bottom w:w="100" w:type="dxa"/>
              <w:right w:w="100" w:type="dxa"/>
            </w:tcMar>
          </w:tcPr>
          <w:p w:rsidR="00E16C77" w:rsidRDefault="00E16C77">
            <w:pPr>
              <w:pStyle w:val="normal0"/>
              <w:spacing w:line="240" w:lineRule="auto"/>
              <w:ind w:left="0"/>
              <w:contextualSpacing w:val="0"/>
            </w:pPr>
          </w:p>
        </w:tc>
      </w:tr>
      <w:tr w:rsidR="00E16C77">
        <w:tc>
          <w:tcPr>
            <w:tcW w:w="2865"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b/>
                <w:color w:val="262626"/>
                <w:sz w:val="20"/>
                <w:szCs w:val="20"/>
              </w:rPr>
              <w:t>Brisbane</w:t>
            </w:r>
          </w:p>
        </w:tc>
        <w:tc>
          <w:tcPr>
            <w:tcW w:w="2100"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$1,406,500</w:t>
            </w:r>
          </w:p>
        </w:tc>
        <w:tc>
          <w:tcPr>
            <w:tcW w:w="1800"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$750</w:t>
            </w:r>
          </w:p>
        </w:tc>
        <w:tc>
          <w:tcPr>
            <w:tcW w:w="1995"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2.78%</w:t>
            </w:r>
          </w:p>
        </w:tc>
        <w:tc>
          <w:tcPr>
            <w:tcW w:w="1155" w:type="dxa"/>
            <w:shd w:val="clear" w:color="auto" w:fill="E5E5E5"/>
            <w:tcMar>
              <w:top w:w="100" w:type="dxa"/>
              <w:left w:w="100" w:type="dxa"/>
              <w:bottom w:w="100" w:type="dxa"/>
              <w:right w:w="100" w:type="dxa"/>
            </w:tcMar>
          </w:tcPr>
          <w:p w:rsidR="00E16C77" w:rsidRDefault="00E16C77">
            <w:pPr>
              <w:pStyle w:val="normal0"/>
              <w:spacing w:line="240" w:lineRule="auto"/>
              <w:ind w:left="0"/>
              <w:contextualSpacing w:val="0"/>
            </w:pPr>
          </w:p>
        </w:tc>
      </w:tr>
      <w:tr w:rsidR="00E16C77">
        <w:tc>
          <w:tcPr>
            <w:tcW w:w="2865"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b/>
                <w:color w:val="262626"/>
                <w:sz w:val="20"/>
                <w:szCs w:val="20"/>
              </w:rPr>
              <w:t>Sydney</w:t>
            </w:r>
          </w:p>
        </w:tc>
        <w:tc>
          <w:tcPr>
            <w:tcW w:w="2100"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$2,308,000</w:t>
            </w:r>
          </w:p>
        </w:tc>
        <w:tc>
          <w:tcPr>
            <w:tcW w:w="1800"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$855</w:t>
            </w:r>
          </w:p>
        </w:tc>
        <w:tc>
          <w:tcPr>
            <w:tcW w:w="1995"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1.93%</w:t>
            </w:r>
          </w:p>
        </w:tc>
        <w:tc>
          <w:tcPr>
            <w:tcW w:w="1155" w:type="dxa"/>
            <w:shd w:val="clear" w:color="auto" w:fill="D8D8D8"/>
            <w:tcMar>
              <w:top w:w="100" w:type="dxa"/>
              <w:left w:w="100" w:type="dxa"/>
              <w:bottom w:w="100" w:type="dxa"/>
              <w:right w:w="100" w:type="dxa"/>
            </w:tcMar>
          </w:tcPr>
          <w:p w:rsidR="00E16C77" w:rsidRDefault="00E16C77">
            <w:pPr>
              <w:pStyle w:val="normal0"/>
              <w:spacing w:line="240" w:lineRule="auto"/>
              <w:ind w:left="0"/>
              <w:contextualSpacing w:val="0"/>
            </w:pPr>
          </w:p>
        </w:tc>
      </w:tr>
    </w:tbl>
    <w:p w:rsidR="00E16C77" w:rsidRDefault="002F2DAE">
      <w:pPr>
        <w:pStyle w:val="normal0"/>
        <w:ind w:left="0"/>
        <w:contextualSpacing w:val="0"/>
      </w:pPr>
      <w:proofErr w:type="gramStart"/>
      <w:r>
        <w:rPr>
          <w:rFonts w:ascii="Arial" w:eastAsia="Arial" w:hAnsi="Arial" w:cs="Arial"/>
          <w:color w:val="222222"/>
          <w:sz w:val="16"/>
          <w:szCs w:val="16"/>
        </w:rPr>
        <w:t>source</w:t>
      </w:r>
      <w:proofErr w:type="gramEnd"/>
      <w:r>
        <w:rPr>
          <w:rFonts w:ascii="Arial" w:eastAsia="Arial" w:hAnsi="Arial" w:cs="Arial"/>
          <w:color w:val="222222"/>
          <w:sz w:val="16"/>
          <w:szCs w:val="16"/>
        </w:rPr>
        <w:t xml:space="preserve">: </w:t>
      </w:r>
      <w:hyperlink r:id="rId12">
        <w:r>
          <w:rPr>
            <w:rFonts w:ascii="Arial" w:eastAsia="Arial" w:hAnsi="Arial" w:cs="Arial"/>
            <w:color w:val="1155CC"/>
            <w:sz w:val="16"/>
            <w:szCs w:val="16"/>
            <w:u w:val="single"/>
          </w:rPr>
          <w:t>finder.com.au</w:t>
        </w:r>
      </w:hyperlink>
      <w:r>
        <w:rPr>
          <w:rFonts w:ascii="Arial" w:eastAsia="Arial" w:hAnsi="Arial" w:cs="Arial"/>
          <w:color w:val="222222"/>
          <w:sz w:val="16"/>
          <w:szCs w:val="16"/>
        </w:rPr>
        <w:t xml:space="preserve">, </w:t>
      </w:r>
      <w:proofErr w:type="spellStart"/>
      <w:r>
        <w:rPr>
          <w:rFonts w:ascii="Arial" w:eastAsia="Arial" w:hAnsi="Arial" w:cs="Arial"/>
          <w:color w:val="222222"/>
          <w:sz w:val="16"/>
          <w:szCs w:val="16"/>
        </w:rPr>
        <w:t>tripadvisor’s</w:t>
      </w:r>
      <w:proofErr w:type="spellEnd"/>
      <w:r>
        <w:rPr>
          <w:rFonts w:ascii="Arial" w:eastAsia="Arial" w:hAnsi="Arial" w:cs="Arial"/>
          <w:color w:val="222222"/>
          <w:sz w:val="16"/>
          <w:szCs w:val="16"/>
        </w:rPr>
        <w:t xml:space="preserve"> Traveller’s Choice 2015 top 10 destination ranked according to rental yield, prices and figures from </w:t>
      </w:r>
      <w:proofErr w:type="spellStart"/>
      <w:r>
        <w:rPr>
          <w:rFonts w:ascii="Arial" w:eastAsia="Arial" w:hAnsi="Arial" w:cs="Arial"/>
          <w:color w:val="222222"/>
          <w:sz w:val="16"/>
          <w:szCs w:val="16"/>
        </w:rPr>
        <w:t>Residex</w:t>
      </w:r>
      <w:proofErr w:type="spellEnd"/>
      <w:r>
        <w:rPr>
          <w:rFonts w:ascii="Arial" w:eastAsia="Arial" w:hAnsi="Arial" w:cs="Arial"/>
          <w:color w:val="222222"/>
          <w:sz w:val="16"/>
          <w:szCs w:val="16"/>
        </w:rPr>
        <w:t xml:space="preserve"> (on onthehouse.com.au) based on postcodes</w:t>
      </w:r>
    </w:p>
    <w:p w:rsidR="00E16C77" w:rsidRDefault="00E16C77">
      <w:pPr>
        <w:pStyle w:val="normal0"/>
        <w:ind w:left="0"/>
        <w:contextualSpacing w:val="0"/>
      </w:pPr>
    </w:p>
    <w:p w:rsidR="00E16C77" w:rsidRDefault="002F2DAE">
      <w:pPr>
        <w:pStyle w:val="normal0"/>
        <w:ind w:left="0"/>
        <w:contextualSpacing w:val="0"/>
      </w:pPr>
      <w:proofErr w:type="spellStart"/>
      <w:proofErr w:type="gramStart"/>
      <w:r>
        <w:rPr>
          <w:rFonts w:ascii="Arial" w:eastAsia="Arial" w:hAnsi="Arial" w:cs="Arial"/>
          <w:b/>
          <w:color w:val="000000"/>
          <w:sz w:val="22"/>
          <w:szCs w:val="22"/>
        </w:rPr>
        <w:t>finder.com.au’s</w:t>
      </w:r>
      <w:proofErr w:type="spellEnd"/>
      <w:proofErr w:type="gramEnd"/>
      <w:r>
        <w:rPr>
          <w:rFonts w:ascii="Arial" w:eastAsia="Arial" w:hAnsi="Arial" w:cs="Arial"/>
          <w:b/>
          <w:color w:val="000000"/>
          <w:sz w:val="22"/>
          <w:szCs w:val="22"/>
        </w:rPr>
        <w:t xml:space="preserve"> top investment holiday hotspots: Units</w:t>
      </w:r>
    </w:p>
    <w:tbl>
      <w:tblPr>
        <w:tblStyle w:val="a2"/>
        <w:tblW w:w="9915" w:type="dxa"/>
        <w:tblLayout w:type="fixed"/>
        <w:tblLook w:val="0600" w:firstRow="0" w:lastRow="0" w:firstColumn="0" w:lastColumn="0" w:noHBand="1" w:noVBand="1"/>
      </w:tblPr>
      <w:tblGrid>
        <w:gridCol w:w="2865"/>
        <w:gridCol w:w="2100"/>
        <w:gridCol w:w="1800"/>
        <w:gridCol w:w="1860"/>
        <w:gridCol w:w="1290"/>
      </w:tblGrid>
      <w:tr w:rsidR="00E16C77">
        <w:trPr>
          <w:trHeight w:val="480"/>
        </w:trPr>
        <w:tc>
          <w:tcPr>
            <w:tcW w:w="2865" w:type="dxa"/>
            <w:shd w:val="clear" w:color="auto" w:fill="18304B"/>
            <w:tcMar>
              <w:top w:w="100" w:type="dxa"/>
              <w:left w:w="100" w:type="dxa"/>
              <w:bottom w:w="100" w:type="dxa"/>
              <w:right w:w="100" w:type="dxa"/>
            </w:tcMar>
          </w:tcPr>
          <w:p w:rsidR="00E16C77" w:rsidRDefault="002F2DAE">
            <w:pPr>
              <w:pStyle w:val="normal0"/>
              <w:spacing w:line="240" w:lineRule="auto"/>
              <w:ind w:left="0"/>
              <w:contextualSpacing w:val="0"/>
              <w:jc w:val="center"/>
            </w:pPr>
            <w:r>
              <w:rPr>
                <w:rFonts w:ascii="Arial" w:eastAsia="Arial" w:hAnsi="Arial" w:cs="Arial"/>
                <w:b/>
                <w:color w:val="FFFFFF"/>
                <w:sz w:val="22"/>
                <w:szCs w:val="22"/>
              </w:rPr>
              <w:t>Holiday destinations</w:t>
            </w:r>
          </w:p>
        </w:tc>
        <w:tc>
          <w:tcPr>
            <w:tcW w:w="2100" w:type="dxa"/>
            <w:shd w:val="clear" w:color="auto" w:fill="18304B"/>
            <w:tcMar>
              <w:top w:w="100" w:type="dxa"/>
              <w:left w:w="100" w:type="dxa"/>
              <w:bottom w:w="100" w:type="dxa"/>
              <w:right w:w="100" w:type="dxa"/>
            </w:tcMar>
          </w:tcPr>
          <w:p w:rsidR="00E16C77" w:rsidRDefault="002F2DAE">
            <w:pPr>
              <w:pStyle w:val="normal0"/>
              <w:spacing w:line="240" w:lineRule="auto"/>
              <w:ind w:left="0"/>
              <w:contextualSpacing w:val="0"/>
              <w:jc w:val="center"/>
            </w:pPr>
            <w:r>
              <w:rPr>
                <w:rFonts w:ascii="Arial" w:eastAsia="Arial" w:hAnsi="Arial" w:cs="Arial"/>
                <w:b/>
                <w:color w:val="FFFFFF"/>
                <w:sz w:val="22"/>
                <w:szCs w:val="22"/>
              </w:rPr>
              <w:t xml:space="preserve">Median unit </w:t>
            </w:r>
            <w:r>
              <w:rPr>
                <w:rFonts w:ascii="Arial" w:eastAsia="Arial" w:hAnsi="Arial" w:cs="Arial"/>
                <w:b/>
                <w:color w:val="FFFFFF"/>
                <w:sz w:val="22"/>
                <w:szCs w:val="22"/>
              </w:rPr>
              <w:t>price</w:t>
            </w:r>
          </w:p>
        </w:tc>
        <w:tc>
          <w:tcPr>
            <w:tcW w:w="1800" w:type="dxa"/>
            <w:shd w:val="clear" w:color="auto" w:fill="18304B"/>
            <w:tcMar>
              <w:top w:w="100" w:type="dxa"/>
              <w:left w:w="100" w:type="dxa"/>
              <w:bottom w:w="100" w:type="dxa"/>
              <w:right w:w="100" w:type="dxa"/>
            </w:tcMar>
          </w:tcPr>
          <w:p w:rsidR="00E16C77" w:rsidRDefault="002F2DAE">
            <w:pPr>
              <w:pStyle w:val="normal0"/>
              <w:spacing w:line="240" w:lineRule="auto"/>
              <w:ind w:left="0"/>
              <w:contextualSpacing w:val="0"/>
              <w:jc w:val="center"/>
            </w:pPr>
            <w:r>
              <w:rPr>
                <w:rFonts w:ascii="Arial" w:eastAsia="Arial" w:hAnsi="Arial" w:cs="Arial"/>
                <w:b/>
                <w:color w:val="FFFFFF"/>
                <w:sz w:val="22"/>
                <w:szCs w:val="22"/>
              </w:rPr>
              <w:t>Median rent per week</w:t>
            </w:r>
          </w:p>
        </w:tc>
        <w:tc>
          <w:tcPr>
            <w:tcW w:w="1860" w:type="dxa"/>
            <w:shd w:val="clear" w:color="auto" w:fill="18304B"/>
            <w:tcMar>
              <w:top w:w="100" w:type="dxa"/>
              <w:left w:w="100" w:type="dxa"/>
              <w:bottom w:w="100" w:type="dxa"/>
              <w:right w:w="100" w:type="dxa"/>
            </w:tcMar>
          </w:tcPr>
          <w:p w:rsidR="00E16C77" w:rsidRDefault="002F2DAE">
            <w:pPr>
              <w:pStyle w:val="normal0"/>
              <w:spacing w:line="240" w:lineRule="auto"/>
              <w:ind w:left="0"/>
              <w:contextualSpacing w:val="0"/>
              <w:jc w:val="center"/>
            </w:pPr>
            <w:r>
              <w:rPr>
                <w:rFonts w:ascii="Arial" w:eastAsia="Arial" w:hAnsi="Arial" w:cs="Arial"/>
                <w:b/>
                <w:color w:val="FFFFFF"/>
                <w:sz w:val="22"/>
                <w:szCs w:val="22"/>
              </w:rPr>
              <w:t>Yield</w:t>
            </w:r>
          </w:p>
        </w:tc>
        <w:tc>
          <w:tcPr>
            <w:tcW w:w="1290" w:type="dxa"/>
            <w:shd w:val="clear" w:color="auto" w:fill="18304B"/>
            <w:tcMar>
              <w:top w:w="56" w:type="dxa"/>
              <w:left w:w="56" w:type="dxa"/>
              <w:bottom w:w="56" w:type="dxa"/>
              <w:right w:w="56" w:type="dxa"/>
            </w:tcMar>
          </w:tcPr>
          <w:p w:rsidR="00E16C77" w:rsidRDefault="002F2DAE">
            <w:pPr>
              <w:pStyle w:val="normal0"/>
              <w:spacing w:line="240" w:lineRule="auto"/>
              <w:ind w:left="0"/>
              <w:contextualSpacing w:val="0"/>
              <w:jc w:val="right"/>
            </w:pPr>
            <w:r>
              <w:rPr>
                <w:noProof/>
                <w:lang w:val="en-US"/>
              </w:rPr>
              <w:drawing>
                <wp:inline distT="114300" distB="114300" distL="114300" distR="114300">
                  <wp:extent cx="606136" cy="190500"/>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1"/>
                          <a:srcRect/>
                          <a:stretch>
                            <a:fillRect/>
                          </a:stretch>
                        </pic:blipFill>
                        <pic:spPr>
                          <a:xfrm>
                            <a:off x="0" y="0"/>
                            <a:ext cx="606136" cy="190500"/>
                          </a:xfrm>
                          <a:prstGeom prst="rect">
                            <a:avLst/>
                          </a:prstGeom>
                          <a:ln/>
                        </pic:spPr>
                      </pic:pic>
                    </a:graphicData>
                  </a:graphic>
                </wp:inline>
              </w:drawing>
            </w:r>
          </w:p>
        </w:tc>
      </w:tr>
      <w:tr w:rsidR="00E16C77">
        <w:tc>
          <w:tcPr>
            <w:tcW w:w="2865"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b/>
                <w:color w:val="262626"/>
                <w:sz w:val="20"/>
                <w:szCs w:val="20"/>
              </w:rPr>
              <w:t>Port Douglas</w:t>
            </w:r>
          </w:p>
        </w:tc>
        <w:tc>
          <w:tcPr>
            <w:tcW w:w="2100"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$204,000</w:t>
            </w:r>
          </w:p>
        </w:tc>
        <w:tc>
          <w:tcPr>
            <w:tcW w:w="1800"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$290</w:t>
            </w:r>
          </w:p>
        </w:tc>
        <w:tc>
          <w:tcPr>
            <w:tcW w:w="1860"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7.45%</w:t>
            </w:r>
          </w:p>
        </w:tc>
        <w:tc>
          <w:tcPr>
            <w:tcW w:w="1290" w:type="dxa"/>
            <w:shd w:val="clear" w:color="auto" w:fill="E5E5E5"/>
            <w:tcMar>
              <w:top w:w="100" w:type="dxa"/>
              <w:left w:w="100" w:type="dxa"/>
              <w:bottom w:w="100" w:type="dxa"/>
              <w:right w:w="100" w:type="dxa"/>
            </w:tcMar>
          </w:tcPr>
          <w:p w:rsidR="00E16C77" w:rsidRDefault="00E16C77">
            <w:pPr>
              <w:pStyle w:val="normal0"/>
              <w:spacing w:line="240" w:lineRule="auto"/>
              <w:ind w:left="0"/>
              <w:contextualSpacing w:val="0"/>
              <w:jc w:val="right"/>
            </w:pPr>
          </w:p>
        </w:tc>
      </w:tr>
      <w:tr w:rsidR="00E16C77">
        <w:tc>
          <w:tcPr>
            <w:tcW w:w="2865"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b/>
                <w:color w:val="262626"/>
                <w:sz w:val="20"/>
                <w:szCs w:val="20"/>
              </w:rPr>
              <w:t>Brisbane</w:t>
            </w:r>
          </w:p>
        </w:tc>
        <w:tc>
          <w:tcPr>
            <w:tcW w:w="2100"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$487,000</w:t>
            </w:r>
          </w:p>
        </w:tc>
        <w:tc>
          <w:tcPr>
            <w:tcW w:w="1800"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$570</w:t>
            </w:r>
          </w:p>
        </w:tc>
        <w:tc>
          <w:tcPr>
            <w:tcW w:w="1860" w:type="dxa"/>
            <w:shd w:val="clear" w:color="auto" w:fill="D8D8D8"/>
            <w:tcMar>
              <w:top w:w="100" w:type="dxa"/>
              <w:left w:w="100" w:type="dxa"/>
              <w:bottom w:w="100" w:type="dxa"/>
              <w:right w:w="100" w:type="dxa"/>
            </w:tcMar>
          </w:tcPr>
          <w:p w:rsidR="00E16C77" w:rsidRDefault="002F2DAE">
            <w:pPr>
              <w:pStyle w:val="normal0"/>
              <w:spacing w:line="240" w:lineRule="auto"/>
              <w:ind w:left="0"/>
              <w:contextualSpacing w:val="0"/>
              <w:jc w:val="center"/>
            </w:pPr>
            <w:r>
              <w:rPr>
                <w:rFonts w:ascii="Arial" w:eastAsia="Arial" w:hAnsi="Arial" w:cs="Arial"/>
                <w:color w:val="262626"/>
                <w:sz w:val="20"/>
                <w:szCs w:val="20"/>
              </w:rPr>
              <w:t>6.11%</w:t>
            </w:r>
          </w:p>
        </w:tc>
        <w:tc>
          <w:tcPr>
            <w:tcW w:w="1290" w:type="dxa"/>
            <w:shd w:val="clear" w:color="auto" w:fill="D8D8D8"/>
            <w:tcMar>
              <w:top w:w="100" w:type="dxa"/>
              <w:left w:w="100" w:type="dxa"/>
              <w:bottom w:w="100" w:type="dxa"/>
              <w:right w:w="100" w:type="dxa"/>
            </w:tcMar>
          </w:tcPr>
          <w:p w:rsidR="00E16C77" w:rsidRDefault="00E16C77">
            <w:pPr>
              <w:pStyle w:val="normal0"/>
              <w:spacing w:line="240" w:lineRule="auto"/>
              <w:ind w:left="0"/>
              <w:contextualSpacing w:val="0"/>
            </w:pPr>
          </w:p>
        </w:tc>
      </w:tr>
      <w:tr w:rsidR="00E16C77">
        <w:tc>
          <w:tcPr>
            <w:tcW w:w="2865"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b/>
                <w:color w:val="262626"/>
                <w:sz w:val="20"/>
                <w:szCs w:val="20"/>
              </w:rPr>
              <w:t>Adelaide</w:t>
            </w:r>
          </w:p>
        </w:tc>
        <w:tc>
          <w:tcPr>
            <w:tcW w:w="2100"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$363,500</w:t>
            </w:r>
          </w:p>
        </w:tc>
        <w:tc>
          <w:tcPr>
            <w:tcW w:w="1800"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$420</w:t>
            </w:r>
          </w:p>
        </w:tc>
        <w:tc>
          <w:tcPr>
            <w:tcW w:w="1860" w:type="dxa"/>
            <w:shd w:val="clear" w:color="auto" w:fill="E5E5E5"/>
            <w:tcMar>
              <w:top w:w="100" w:type="dxa"/>
              <w:left w:w="100" w:type="dxa"/>
              <w:bottom w:w="100" w:type="dxa"/>
              <w:right w:w="100" w:type="dxa"/>
            </w:tcMar>
          </w:tcPr>
          <w:p w:rsidR="00E16C77" w:rsidRDefault="002F2DAE">
            <w:pPr>
              <w:pStyle w:val="normal0"/>
              <w:spacing w:line="240" w:lineRule="auto"/>
              <w:ind w:left="0"/>
              <w:contextualSpacing w:val="0"/>
              <w:jc w:val="center"/>
            </w:pPr>
            <w:r>
              <w:rPr>
                <w:rFonts w:ascii="Arial" w:eastAsia="Arial" w:hAnsi="Arial" w:cs="Arial"/>
                <w:color w:val="262626"/>
                <w:sz w:val="20"/>
                <w:szCs w:val="20"/>
              </w:rPr>
              <w:t>6.02%</w:t>
            </w:r>
          </w:p>
        </w:tc>
        <w:tc>
          <w:tcPr>
            <w:tcW w:w="1290" w:type="dxa"/>
            <w:shd w:val="clear" w:color="auto" w:fill="E5E5E5"/>
            <w:tcMar>
              <w:top w:w="100" w:type="dxa"/>
              <w:left w:w="100" w:type="dxa"/>
              <w:bottom w:w="100" w:type="dxa"/>
              <w:right w:w="100" w:type="dxa"/>
            </w:tcMar>
          </w:tcPr>
          <w:p w:rsidR="00E16C77" w:rsidRDefault="00E16C77">
            <w:pPr>
              <w:pStyle w:val="normal0"/>
              <w:spacing w:line="240" w:lineRule="auto"/>
              <w:ind w:left="0"/>
              <w:contextualSpacing w:val="0"/>
            </w:pPr>
          </w:p>
        </w:tc>
      </w:tr>
      <w:tr w:rsidR="00E16C77">
        <w:tc>
          <w:tcPr>
            <w:tcW w:w="2865"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b/>
                <w:color w:val="262626"/>
                <w:sz w:val="20"/>
                <w:szCs w:val="20"/>
              </w:rPr>
              <w:t>Cairns</w:t>
            </w:r>
          </w:p>
        </w:tc>
        <w:tc>
          <w:tcPr>
            <w:tcW w:w="2100"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$362,500</w:t>
            </w:r>
          </w:p>
        </w:tc>
        <w:tc>
          <w:tcPr>
            <w:tcW w:w="1800"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$405</w:t>
            </w:r>
          </w:p>
        </w:tc>
        <w:tc>
          <w:tcPr>
            <w:tcW w:w="1860" w:type="dxa"/>
            <w:shd w:val="clear" w:color="auto" w:fill="D8D8D8"/>
            <w:tcMar>
              <w:top w:w="100" w:type="dxa"/>
              <w:left w:w="100" w:type="dxa"/>
              <w:bottom w:w="100" w:type="dxa"/>
              <w:right w:w="100" w:type="dxa"/>
            </w:tcMar>
          </w:tcPr>
          <w:p w:rsidR="00E16C77" w:rsidRDefault="002F2DAE">
            <w:pPr>
              <w:pStyle w:val="normal0"/>
              <w:spacing w:line="240" w:lineRule="auto"/>
              <w:ind w:left="0"/>
              <w:contextualSpacing w:val="0"/>
              <w:jc w:val="center"/>
            </w:pPr>
            <w:r>
              <w:rPr>
                <w:rFonts w:ascii="Arial" w:eastAsia="Arial" w:hAnsi="Arial" w:cs="Arial"/>
                <w:color w:val="262626"/>
                <w:sz w:val="20"/>
                <w:szCs w:val="20"/>
              </w:rPr>
              <w:t>5.84%</w:t>
            </w:r>
          </w:p>
        </w:tc>
        <w:tc>
          <w:tcPr>
            <w:tcW w:w="1290" w:type="dxa"/>
            <w:shd w:val="clear" w:color="auto" w:fill="D8D8D8"/>
            <w:tcMar>
              <w:top w:w="100" w:type="dxa"/>
              <w:left w:w="100" w:type="dxa"/>
              <w:bottom w:w="100" w:type="dxa"/>
              <w:right w:w="100" w:type="dxa"/>
            </w:tcMar>
          </w:tcPr>
          <w:p w:rsidR="00E16C77" w:rsidRDefault="00E16C77">
            <w:pPr>
              <w:pStyle w:val="normal0"/>
              <w:spacing w:line="240" w:lineRule="auto"/>
              <w:ind w:left="0"/>
              <w:contextualSpacing w:val="0"/>
            </w:pPr>
          </w:p>
        </w:tc>
      </w:tr>
      <w:tr w:rsidR="00E16C77">
        <w:tc>
          <w:tcPr>
            <w:tcW w:w="2865"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b/>
                <w:color w:val="262626"/>
                <w:sz w:val="20"/>
                <w:szCs w:val="20"/>
              </w:rPr>
              <w:t>Melbourne</w:t>
            </w:r>
          </w:p>
        </w:tc>
        <w:tc>
          <w:tcPr>
            <w:tcW w:w="2100"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$453,500</w:t>
            </w:r>
          </w:p>
        </w:tc>
        <w:tc>
          <w:tcPr>
            <w:tcW w:w="1800"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$480</w:t>
            </w:r>
          </w:p>
        </w:tc>
        <w:tc>
          <w:tcPr>
            <w:tcW w:w="1860" w:type="dxa"/>
            <w:shd w:val="clear" w:color="auto" w:fill="E5E5E5"/>
            <w:tcMar>
              <w:top w:w="100" w:type="dxa"/>
              <w:left w:w="100" w:type="dxa"/>
              <w:bottom w:w="100" w:type="dxa"/>
              <w:right w:w="100" w:type="dxa"/>
            </w:tcMar>
          </w:tcPr>
          <w:p w:rsidR="00E16C77" w:rsidRDefault="002F2DAE">
            <w:pPr>
              <w:pStyle w:val="normal0"/>
              <w:spacing w:line="240" w:lineRule="auto"/>
              <w:ind w:left="0"/>
              <w:contextualSpacing w:val="0"/>
              <w:jc w:val="center"/>
            </w:pPr>
            <w:r>
              <w:rPr>
                <w:rFonts w:ascii="Arial" w:eastAsia="Arial" w:hAnsi="Arial" w:cs="Arial"/>
                <w:color w:val="262626"/>
                <w:sz w:val="20"/>
                <w:szCs w:val="20"/>
              </w:rPr>
              <w:t>5.51%</w:t>
            </w:r>
          </w:p>
        </w:tc>
        <w:tc>
          <w:tcPr>
            <w:tcW w:w="1290" w:type="dxa"/>
            <w:shd w:val="clear" w:color="auto" w:fill="E5E5E5"/>
            <w:tcMar>
              <w:top w:w="100" w:type="dxa"/>
              <w:left w:w="100" w:type="dxa"/>
              <w:bottom w:w="100" w:type="dxa"/>
              <w:right w:w="100" w:type="dxa"/>
            </w:tcMar>
          </w:tcPr>
          <w:p w:rsidR="00E16C77" w:rsidRDefault="00E16C77">
            <w:pPr>
              <w:pStyle w:val="normal0"/>
              <w:spacing w:line="240" w:lineRule="auto"/>
              <w:ind w:left="0"/>
              <w:contextualSpacing w:val="0"/>
            </w:pPr>
          </w:p>
        </w:tc>
      </w:tr>
      <w:tr w:rsidR="00E16C77">
        <w:tc>
          <w:tcPr>
            <w:tcW w:w="2865"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b/>
                <w:color w:val="262626"/>
                <w:sz w:val="20"/>
                <w:szCs w:val="20"/>
              </w:rPr>
              <w:t>Cessnock</w:t>
            </w:r>
          </w:p>
        </w:tc>
        <w:tc>
          <w:tcPr>
            <w:tcW w:w="2100"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$287,000</w:t>
            </w:r>
          </w:p>
        </w:tc>
        <w:tc>
          <w:tcPr>
            <w:tcW w:w="1800"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$300</w:t>
            </w:r>
          </w:p>
        </w:tc>
        <w:tc>
          <w:tcPr>
            <w:tcW w:w="1860" w:type="dxa"/>
            <w:shd w:val="clear" w:color="auto" w:fill="D8D8D8"/>
            <w:tcMar>
              <w:top w:w="100" w:type="dxa"/>
              <w:left w:w="100" w:type="dxa"/>
              <w:bottom w:w="100" w:type="dxa"/>
              <w:right w:w="100" w:type="dxa"/>
            </w:tcMar>
          </w:tcPr>
          <w:p w:rsidR="00E16C77" w:rsidRDefault="002F2DAE">
            <w:pPr>
              <w:pStyle w:val="normal0"/>
              <w:spacing w:line="240" w:lineRule="auto"/>
              <w:ind w:left="0"/>
              <w:contextualSpacing w:val="0"/>
              <w:jc w:val="center"/>
            </w:pPr>
            <w:r>
              <w:rPr>
                <w:rFonts w:ascii="Arial" w:eastAsia="Arial" w:hAnsi="Arial" w:cs="Arial"/>
                <w:color w:val="262626"/>
                <w:sz w:val="20"/>
                <w:szCs w:val="20"/>
              </w:rPr>
              <w:t>5.42%</w:t>
            </w:r>
          </w:p>
        </w:tc>
        <w:tc>
          <w:tcPr>
            <w:tcW w:w="1290" w:type="dxa"/>
            <w:shd w:val="clear" w:color="auto" w:fill="D8D8D8"/>
            <w:tcMar>
              <w:top w:w="100" w:type="dxa"/>
              <w:left w:w="100" w:type="dxa"/>
              <w:bottom w:w="100" w:type="dxa"/>
              <w:right w:w="100" w:type="dxa"/>
            </w:tcMar>
          </w:tcPr>
          <w:p w:rsidR="00E16C77" w:rsidRDefault="00E16C77">
            <w:pPr>
              <w:pStyle w:val="normal0"/>
              <w:spacing w:line="240" w:lineRule="auto"/>
              <w:ind w:left="0"/>
              <w:contextualSpacing w:val="0"/>
            </w:pPr>
          </w:p>
        </w:tc>
      </w:tr>
      <w:tr w:rsidR="00E16C77">
        <w:tc>
          <w:tcPr>
            <w:tcW w:w="2865"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b/>
                <w:color w:val="262626"/>
                <w:sz w:val="20"/>
                <w:szCs w:val="20"/>
              </w:rPr>
              <w:t>Sydney</w:t>
            </w:r>
          </w:p>
        </w:tc>
        <w:tc>
          <w:tcPr>
            <w:tcW w:w="2100"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$756,000</w:t>
            </w:r>
          </w:p>
        </w:tc>
        <w:tc>
          <w:tcPr>
            <w:tcW w:w="1800"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$760</w:t>
            </w:r>
          </w:p>
        </w:tc>
        <w:tc>
          <w:tcPr>
            <w:tcW w:w="1860" w:type="dxa"/>
            <w:shd w:val="clear" w:color="auto" w:fill="E5E5E5"/>
            <w:tcMar>
              <w:top w:w="100" w:type="dxa"/>
              <w:left w:w="100" w:type="dxa"/>
              <w:bottom w:w="100" w:type="dxa"/>
              <w:right w:w="100" w:type="dxa"/>
            </w:tcMar>
          </w:tcPr>
          <w:p w:rsidR="00E16C77" w:rsidRDefault="002F2DAE">
            <w:pPr>
              <w:pStyle w:val="normal0"/>
              <w:spacing w:line="240" w:lineRule="auto"/>
              <w:ind w:left="0"/>
              <w:contextualSpacing w:val="0"/>
              <w:jc w:val="center"/>
            </w:pPr>
            <w:r>
              <w:rPr>
                <w:rFonts w:ascii="Arial" w:eastAsia="Arial" w:hAnsi="Arial" w:cs="Arial"/>
                <w:color w:val="262626"/>
                <w:sz w:val="20"/>
                <w:szCs w:val="20"/>
              </w:rPr>
              <w:t>5.26%</w:t>
            </w:r>
          </w:p>
        </w:tc>
        <w:tc>
          <w:tcPr>
            <w:tcW w:w="1290" w:type="dxa"/>
            <w:shd w:val="clear" w:color="auto" w:fill="E5E5E5"/>
            <w:tcMar>
              <w:top w:w="100" w:type="dxa"/>
              <w:left w:w="100" w:type="dxa"/>
              <w:bottom w:w="100" w:type="dxa"/>
              <w:right w:w="100" w:type="dxa"/>
            </w:tcMar>
          </w:tcPr>
          <w:p w:rsidR="00E16C77" w:rsidRDefault="00E16C77">
            <w:pPr>
              <w:pStyle w:val="normal0"/>
              <w:spacing w:line="240" w:lineRule="auto"/>
              <w:ind w:left="0"/>
              <w:contextualSpacing w:val="0"/>
            </w:pPr>
          </w:p>
        </w:tc>
      </w:tr>
      <w:tr w:rsidR="00E16C77">
        <w:tc>
          <w:tcPr>
            <w:tcW w:w="2865"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b/>
                <w:color w:val="262626"/>
                <w:sz w:val="20"/>
                <w:szCs w:val="20"/>
              </w:rPr>
              <w:lastRenderedPageBreak/>
              <w:t>Margaret River</w:t>
            </w:r>
          </w:p>
        </w:tc>
        <w:tc>
          <w:tcPr>
            <w:tcW w:w="2100"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$357,000</w:t>
            </w:r>
          </w:p>
        </w:tc>
        <w:tc>
          <w:tcPr>
            <w:tcW w:w="1800"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$355</w:t>
            </w:r>
          </w:p>
        </w:tc>
        <w:tc>
          <w:tcPr>
            <w:tcW w:w="1860" w:type="dxa"/>
            <w:shd w:val="clear" w:color="auto" w:fill="D8D8D8"/>
            <w:tcMar>
              <w:top w:w="100" w:type="dxa"/>
              <w:left w:w="100" w:type="dxa"/>
              <w:bottom w:w="100" w:type="dxa"/>
              <w:right w:w="100" w:type="dxa"/>
            </w:tcMar>
          </w:tcPr>
          <w:p w:rsidR="00E16C77" w:rsidRDefault="002F2DAE">
            <w:pPr>
              <w:pStyle w:val="normal0"/>
              <w:spacing w:line="240" w:lineRule="auto"/>
              <w:ind w:left="0"/>
              <w:contextualSpacing w:val="0"/>
              <w:jc w:val="center"/>
            </w:pPr>
            <w:r>
              <w:rPr>
                <w:rFonts w:ascii="Arial" w:eastAsia="Arial" w:hAnsi="Arial" w:cs="Arial"/>
                <w:color w:val="262626"/>
                <w:sz w:val="20"/>
                <w:szCs w:val="20"/>
              </w:rPr>
              <w:t>5.18%</w:t>
            </w:r>
          </w:p>
        </w:tc>
        <w:tc>
          <w:tcPr>
            <w:tcW w:w="1290" w:type="dxa"/>
            <w:shd w:val="clear" w:color="auto" w:fill="D8D8D8"/>
            <w:tcMar>
              <w:top w:w="100" w:type="dxa"/>
              <w:left w:w="100" w:type="dxa"/>
              <w:bottom w:w="100" w:type="dxa"/>
              <w:right w:w="100" w:type="dxa"/>
            </w:tcMar>
          </w:tcPr>
          <w:p w:rsidR="00E16C77" w:rsidRDefault="00E16C77">
            <w:pPr>
              <w:pStyle w:val="normal0"/>
              <w:spacing w:line="240" w:lineRule="auto"/>
              <w:ind w:left="0"/>
              <w:contextualSpacing w:val="0"/>
            </w:pPr>
          </w:p>
        </w:tc>
      </w:tr>
      <w:tr w:rsidR="00E16C77">
        <w:tc>
          <w:tcPr>
            <w:tcW w:w="2865"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b/>
                <w:color w:val="262626"/>
                <w:sz w:val="20"/>
                <w:szCs w:val="20"/>
              </w:rPr>
              <w:t>Noosa</w:t>
            </w:r>
          </w:p>
        </w:tc>
        <w:tc>
          <w:tcPr>
            <w:tcW w:w="2100"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$593,000</w:t>
            </w:r>
          </w:p>
        </w:tc>
        <w:tc>
          <w:tcPr>
            <w:tcW w:w="1800" w:type="dxa"/>
            <w:shd w:val="clear" w:color="auto" w:fill="E5E5E5"/>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$575</w:t>
            </w:r>
          </w:p>
        </w:tc>
        <w:tc>
          <w:tcPr>
            <w:tcW w:w="1860" w:type="dxa"/>
            <w:shd w:val="clear" w:color="auto" w:fill="E5E5E5"/>
            <w:tcMar>
              <w:top w:w="100" w:type="dxa"/>
              <w:left w:w="100" w:type="dxa"/>
              <w:bottom w:w="100" w:type="dxa"/>
              <w:right w:w="100" w:type="dxa"/>
            </w:tcMar>
          </w:tcPr>
          <w:p w:rsidR="00E16C77" w:rsidRDefault="002F2DAE">
            <w:pPr>
              <w:pStyle w:val="normal0"/>
              <w:spacing w:line="240" w:lineRule="auto"/>
              <w:ind w:left="0"/>
              <w:contextualSpacing w:val="0"/>
              <w:jc w:val="center"/>
            </w:pPr>
            <w:r>
              <w:rPr>
                <w:rFonts w:ascii="Arial" w:eastAsia="Arial" w:hAnsi="Arial" w:cs="Arial"/>
                <w:color w:val="262626"/>
                <w:sz w:val="20"/>
                <w:szCs w:val="20"/>
              </w:rPr>
              <w:t>5.06%</w:t>
            </w:r>
          </w:p>
        </w:tc>
        <w:tc>
          <w:tcPr>
            <w:tcW w:w="1290" w:type="dxa"/>
            <w:shd w:val="clear" w:color="auto" w:fill="E5E5E5"/>
            <w:tcMar>
              <w:top w:w="100" w:type="dxa"/>
              <w:left w:w="100" w:type="dxa"/>
              <w:bottom w:w="100" w:type="dxa"/>
              <w:right w:w="100" w:type="dxa"/>
            </w:tcMar>
          </w:tcPr>
          <w:p w:rsidR="00E16C77" w:rsidRDefault="00E16C77">
            <w:pPr>
              <w:pStyle w:val="normal0"/>
              <w:spacing w:line="240" w:lineRule="auto"/>
              <w:ind w:left="0"/>
              <w:contextualSpacing w:val="0"/>
            </w:pPr>
          </w:p>
        </w:tc>
      </w:tr>
      <w:tr w:rsidR="00E16C77">
        <w:tc>
          <w:tcPr>
            <w:tcW w:w="2865"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b/>
                <w:color w:val="262626"/>
                <w:sz w:val="20"/>
                <w:szCs w:val="20"/>
              </w:rPr>
              <w:t>Hobart</w:t>
            </w:r>
          </w:p>
        </w:tc>
        <w:tc>
          <w:tcPr>
            <w:tcW w:w="2100"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$482,500</w:t>
            </w:r>
          </w:p>
        </w:tc>
        <w:tc>
          <w:tcPr>
            <w:tcW w:w="1800" w:type="dxa"/>
            <w:shd w:val="clear" w:color="auto" w:fill="D8D8D8"/>
            <w:tcMar>
              <w:top w:w="40" w:type="dxa"/>
              <w:left w:w="40" w:type="dxa"/>
              <w:bottom w:w="40" w:type="dxa"/>
              <w:right w:w="40" w:type="dxa"/>
            </w:tcMar>
            <w:vAlign w:val="bottom"/>
          </w:tcPr>
          <w:p w:rsidR="00E16C77" w:rsidRDefault="002F2DAE">
            <w:pPr>
              <w:pStyle w:val="normal0"/>
              <w:spacing w:line="240" w:lineRule="auto"/>
              <w:ind w:left="0"/>
              <w:contextualSpacing w:val="0"/>
              <w:jc w:val="center"/>
            </w:pPr>
            <w:r>
              <w:rPr>
                <w:rFonts w:ascii="Arial" w:eastAsia="Arial" w:hAnsi="Arial" w:cs="Arial"/>
                <w:color w:val="262626"/>
                <w:sz w:val="20"/>
                <w:szCs w:val="20"/>
              </w:rPr>
              <w:t>$435</w:t>
            </w:r>
          </w:p>
        </w:tc>
        <w:tc>
          <w:tcPr>
            <w:tcW w:w="1860" w:type="dxa"/>
            <w:shd w:val="clear" w:color="auto" w:fill="D8D8D8"/>
            <w:tcMar>
              <w:top w:w="100" w:type="dxa"/>
              <w:left w:w="100" w:type="dxa"/>
              <w:bottom w:w="100" w:type="dxa"/>
              <w:right w:w="100" w:type="dxa"/>
            </w:tcMar>
          </w:tcPr>
          <w:p w:rsidR="00E16C77" w:rsidRDefault="002F2DAE">
            <w:pPr>
              <w:pStyle w:val="normal0"/>
              <w:spacing w:line="240" w:lineRule="auto"/>
              <w:ind w:left="0"/>
              <w:contextualSpacing w:val="0"/>
              <w:jc w:val="center"/>
            </w:pPr>
            <w:r>
              <w:rPr>
                <w:rFonts w:ascii="Arial" w:eastAsia="Arial" w:hAnsi="Arial" w:cs="Arial"/>
                <w:color w:val="262626"/>
                <w:sz w:val="20"/>
                <w:szCs w:val="20"/>
              </w:rPr>
              <w:t>4.71%</w:t>
            </w:r>
          </w:p>
        </w:tc>
        <w:tc>
          <w:tcPr>
            <w:tcW w:w="1290" w:type="dxa"/>
            <w:shd w:val="clear" w:color="auto" w:fill="D8D8D8"/>
            <w:tcMar>
              <w:top w:w="100" w:type="dxa"/>
              <w:left w:w="100" w:type="dxa"/>
              <w:bottom w:w="100" w:type="dxa"/>
              <w:right w:w="100" w:type="dxa"/>
            </w:tcMar>
          </w:tcPr>
          <w:p w:rsidR="00E16C77" w:rsidRDefault="00E16C77">
            <w:pPr>
              <w:pStyle w:val="normal0"/>
              <w:spacing w:line="240" w:lineRule="auto"/>
              <w:ind w:left="0"/>
              <w:contextualSpacing w:val="0"/>
            </w:pPr>
          </w:p>
        </w:tc>
      </w:tr>
    </w:tbl>
    <w:p w:rsidR="00E16C77" w:rsidRDefault="002F2DAE">
      <w:pPr>
        <w:pStyle w:val="normal0"/>
        <w:ind w:left="0"/>
        <w:contextualSpacing w:val="0"/>
      </w:pPr>
      <w:proofErr w:type="gramStart"/>
      <w:r>
        <w:rPr>
          <w:rFonts w:ascii="Arial" w:eastAsia="Arial" w:hAnsi="Arial" w:cs="Arial"/>
          <w:color w:val="222222"/>
          <w:sz w:val="16"/>
          <w:szCs w:val="16"/>
        </w:rPr>
        <w:t>source</w:t>
      </w:r>
      <w:proofErr w:type="gramEnd"/>
      <w:r>
        <w:rPr>
          <w:rFonts w:ascii="Arial" w:eastAsia="Arial" w:hAnsi="Arial" w:cs="Arial"/>
          <w:color w:val="222222"/>
          <w:sz w:val="16"/>
          <w:szCs w:val="16"/>
        </w:rPr>
        <w:t xml:space="preserve">: </w:t>
      </w:r>
      <w:hyperlink r:id="rId13">
        <w:r>
          <w:rPr>
            <w:rFonts w:ascii="Arial" w:eastAsia="Arial" w:hAnsi="Arial" w:cs="Arial"/>
            <w:color w:val="1155CC"/>
            <w:sz w:val="16"/>
            <w:szCs w:val="16"/>
            <w:u w:val="single"/>
          </w:rPr>
          <w:t>finder.com.au</w:t>
        </w:r>
      </w:hyperlink>
      <w:r>
        <w:rPr>
          <w:rFonts w:ascii="Arial" w:eastAsia="Arial" w:hAnsi="Arial" w:cs="Arial"/>
          <w:color w:val="222222"/>
          <w:sz w:val="16"/>
          <w:szCs w:val="16"/>
        </w:rPr>
        <w:t xml:space="preserve">, </w:t>
      </w:r>
      <w:proofErr w:type="spellStart"/>
      <w:r>
        <w:rPr>
          <w:rFonts w:ascii="Arial" w:eastAsia="Arial" w:hAnsi="Arial" w:cs="Arial"/>
          <w:color w:val="222222"/>
          <w:sz w:val="16"/>
          <w:szCs w:val="16"/>
        </w:rPr>
        <w:t>tripadvisor’s</w:t>
      </w:r>
      <w:proofErr w:type="spellEnd"/>
      <w:r>
        <w:rPr>
          <w:rFonts w:ascii="Arial" w:eastAsia="Arial" w:hAnsi="Arial" w:cs="Arial"/>
          <w:color w:val="222222"/>
          <w:sz w:val="16"/>
          <w:szCs w:val="16"/>
        </w:rPr>
        <w:t xml:space="preserve"> Traveller’s Choice 2015 top 10 destination </w:t>
      </w:r>
      <w:r>
        <w:rPr>
          <w:rFonts w:ascii="Arial" w:eastAsia="Arial" w:hAnsi="Arial" w:cs="Arial"/>
          <w:color w:val="222222"/>
          <w:sz w:val="16"/>
          <w:szCs w:val="16"/>
        </w:rPr>
        <w:t xml:space="preserve">ranked according to rental yield, prices and figures from </w:t>
      </w:r>
      <w:proofErr w:type="spellStart"/>
      <w:r>
        <w:rPr>
          <w:rFonts w:ascii="Arial" w:eastAsia="Arial" w:hAnsi="Arial" w:cs="Arial"/>
          <w:color w:val="222222"/>
          <w:sz w:val="16"/>
          <w:szCs w:val="16"/>
        </w:rPr>
        <w:t>Residex</w:t>
      </w:r>
      <w:proofErr w:type="spellEnd"/>
      <w:r>
        <w:rPr>
          <w:rFonts w:ascii="Arial" w:eastAsia="Arial" w:hAnsi="Arial" w:cs="Arial"/>
          <w:color w:val="222222"/>
          <w:sz w:val="16"/>
          <w:szCs w:val="16"/>
        </w:rPr>
        <w:t xml:space="preserve"> (on onthehouse.com.au) based on postcodes</w:t>
      </w:r>
    </w:p>
    <w:p w:rsidR="00E16C77" w:rsidRDefault="00E16C77">
      <w:pPr>
        <w:pStyle w:val="normal0"/>
        <w:contextualSpacing w:val="0"/>
      </w:pPr>
    </w:p>
    <w:p w:rsidR="00E16C77" w:rsidRDefault="00E16C77">
      <w:pPr>
        <w:pStyle w:val="normal0"/>
        <w:ind w:left="0"/>
        <w:contextualSpacing w:val="0"/>
      </w:pPr>
    </w:p>
    <w:p w:rsidR="00E16C77" w:rsidRDefault="00E16C77">
      <w:pPr>
        <w:pStyle w:val="normal0"/>
        <w:ind w:left="0"/>
        <w:contextualSpacing w:val="0"/>
      </w:pPr>
    </w:p>
    <w:p w:rsidR="00E16C77" w:rsidRDefault="002F2DAE">
      <w:pPr>
        <w:pStyle w:val="normal0"/>
        <w:contextualSpacing w:val="0"/>
      </w:pPr>
      <w:r>
        <w:rPr>
          <w:rFonts w:ascii="Arial" w:eastAsia="Arial" w:hAnsi="Arial" w:cs="Arial"/>
          <w:color w:val="777777"/>
          <w:sz w:val="28"/>
          <w:szCs w:val="28"/>
        </w:rPr>
        <w:t>###</w:t>
      </w:r>
    </w:p>
    <w:p w:rsidR="00E16C77" w:rsidRDefault="00E16C77">
      <w:pPr>
        <w:pStyle w:val="normal0"/>
        <w:ind w:left="0"/>
        <w:contextualSpacing w:val="0"/>
      </w:pPr>
    </w:p>
    <w:p w:rsidR="00E16C77" w:rsidRDefault="002F2DAE">
      <w:pPr>
        <w:pStyle w:val="normal0"/>
        <w:ind w:left="0"/>
        <w:contextualSpacing w:val="0"/>
      </w:pPr>
      <w:r>
        <w:rPr>
          <w:rFonts w:ascii="Arial" w:eastAsia="Arial" w:hAnsi="Arial" w:cs="Arial"/>
          <w:color w:val="777777"/>
          <w:sz w:val="22"/>
          <w:szCs w:val="22"/>
        </w:rPr>
        <w:t xml:space="preserve">We now have </w:t>
      </w:r>
      <w:proofErr w:type="gramStart"/>
      <w:r>
        <w:rPr>
          <w:rFonts w:ascii="Arial" w:eastAsia="Arial" w:hAnsi="Arial" w:cs="Arial"/>
          <w:color w:val="777777"/>
          <w:sz w:val="22"/>
          <w:szCs w:val="22"/>
        </w:rPr>
        <w:t>a news</w:t>
      </w:r>
      <w:proofErr w:type="gramEnd"/>
      <w:r>
        <w:rPr>
          <w:rFonts w:ascii="Arial" w:eastAsia="Arial" w:hAnsi="Arial" w:cs="Arial"/>
          <w:color w:val="777777"/>
          <w:sz w:val="22"/>
          <w:szCs w:val="22"/>
        </w:rPr>
        <w:t xml:space="preserve"> feed on Twitter! Follow us for the latest updates or drop us a line to say hi: @</w:t>
      </w:r>
      <w:proofErr w:type="spellStart"/>
      <w:r>
        <w:rPr>
          <w:rFonts w:ascii="Arial" w:eastAsia="Arial" w:hAnsi="Arial" w:cs="Arial"/>
          <w:color w:val="777777"/>
          <w:sz w:val="22"/>
          <w:szCs w:val="22"/>
        </w:rPr>
        <w:t>finder_news</w:t>
      </w:r>
      <w:proofErr w:type="spellEnd"/>
      <w:r>
        <w:rPr>
          <w:rFonts w:ascii="Arial" w:eastAsia="Arial" w:hAnsi="Arial" w:cs="Arial"/>
          <w:color w:val="777777"/>
          <w:sz w:val="22"/>
          <w:szCs w:val="22"/>
        </w:rPr>
        <w:t>.</w:t>
      </w:r>
    </w:p>
    <w:p w:rsidR="00E16C77" w:rsidRDefault="00E16C77">
      <w:pPr>
        <w:pStyle w:val="normal0"/>
        <w:ind w:left="0"/>
        <w:contextualSpacing w:val="0"/>
      </w:pPr>
    </w:p>
    <w:p w:rsidR="00E16C77" w:rsidRDefault="002F2DAE">
      <w:pPr>
        <w:pStyle w:val="normal0"/>
        <w:ind w:left="0"/>
        <w:contextualSpacing w:val="0"/>
      </w:pPr>
      <w:r>
        <w:rPr>
          <w:rFonts w:ascii="Arial" w:eastAsia="Arial" w:hAnsi="Arial" w:cs="Arial"/>
          <w:b/>
          <w:color w:val="777777"/>
          <w:sz w:val="28"/>
          <w:szCs w:val="28"/>
        </w:rPr>
        <w:t>For further information:</w:t>
      </w:r>
    </w:p>
    <w:p w:rsidR="00E16C77" w:rsidRDefault="002F2DAE">
      <w:pPr>
        <w:pStyle w:val="normal0"/>
        <w:ind w:left="0"/>
        <w:contextualSpacing w:val="0"/>
      </w:pPr>
      <w:r>
        <w:rPr>
          <w:rFonts w:ascii="Arial" w:eastAsia="Arial" w:hAnsi="Arial" w:cs="Arial"/>
          <w:b/>
          <w:color w:val="777777"/>
          <w:sz w:val="20"/>
          <w:szCs w:val="20"/>
        </w:rPr>
        <w:t>Michelle Hutchison</w:t>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t>Bessie Hassan</w:t>
      </w:r>
    </w:p>
    <w:p w:rsidR="00E16C77" w:rsidRDefault="002F2DAE">
      <w:pPr>
        <w:pStyle w:val="normal0"/>
        <w:ind w:left="0"/>
        <w:contextualSpacing w:val="0"/>
      </w:pPr>
      <w:r>
        <w:rPr>
          <w:rFonts w:ascii="Arial" w:eastAsia="Arial" w:hAnsi="Arial" w:cs="Arial"/>
          <w:color w:val="777777"/>
          <w:sz w:val="20"/>
          <w:szCs w:val="20"/>
        </w:rPr>
        <w:t>Head of PR &amp; Money Expert</w:t>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PR Manager</w:t>
      </w:r>
    </w:p>
    <w:p w:rsidR="00E16C77" w:rsidRDefault="002F2DAE">
      <w:pPr>
        <w:pStyle w:val="normal0"/>
        <w:contextualSpacing w:val="0"/>
      </w:pPr>
      <w:proofErr w:type="gramStart"/>
      <w:r>
        <w:rPr>
          <w:rFonts w:ascii="Arial" w:eastAsia="Arial" w:hAnsi="Arial" w:cs="Arial"/>
          <w:color w:val="777777"/>
          <w:sz w:val="20"/>
          <w:szCs w:val="20"/>
        </w:rPr>
        <w:t>finder.com.au</w:t>
      </w:r>
      <w:proofErr w:type="gramEnd"/>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finder.com.au</w:t>
      </w:r>
    </w:p>
    <w:p w:rsidR="00E16C77" w:rsidRDefault="002F2DAE">
      <w:pPr>
        <w:pStyle w:val="normal0"/>
        <w:ind w:left="0"/>
        <w:contextualSpacing w:val="0"/>
      </w:pPr>
      <w:r>
        <w:rPr>
          <w:rFonts w:ascii="Arial" w:eastAsia="Arial" w:hAnsi="Arial" w:cs="Arial"/>
          <w:color w:val="777777"/>
          <w:sz w:val="20"/>
          <w:szCs w:val="20"/>
        </w:rPr>
        <w:t>+61403 192 994</w:t>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+61402 567 568</w:t>
      </w:r>
    </w:p>
    <w:p w:rsidR="00E16C77" w:rsidRDefault="002F2DAE">
      <w:pPr>
        <w:pStyle w:val="Heading4"/>
        <w:spacing w:before="0" w:after="0"/>
        <w:ind w:left="0"/>
        <w:contextualSpacing w:val="0"/>
      </w:pPr>
      <w:bookmarkStart w:id="1" w:name="h.ylu2s8r5z1hh" w:colFirst="0" w:colLast="0"/>
      <w:bookmarkEnd w:id="1"/>
      <w:r>
        <w:rPr>
          <w:rFonts w:ascii="Arial" w:eastAsia="Arial" w:hAnsi="Arial" w:cs="Arial"/>
          <w:b w:val="0"/>
          <w:color w:val="777777"/>
          <w:sz w:val="20"/>
          <w:szCs w:val="20"/>
        </w:rPr>
        <w:t>+61 2 9299 7602</w:t>
      </w:r>
      <w:r>
        <w:rPr>
          <w:rFonts w:ascii="Arial" w:eastAsia="Arial" w:hAnsi="Arial" w:cs="Arial"/>
          <w:b w:val="0"/>
          <w:color w:val="777777"/>
          <w:sz w:val="20"/>
          <w:szCs w:val="20"/>
        </w:rPr>
        <w:tab/>
      </w:r>
      <w:r>
        <w:rPr>
          <w:rFonts w:ascii="Arial" w:eastAsia="Arial" w:hAnsi="Arial" w:cs="Arial"/>
          <w:b w:val="0"/>
          <w:color w:val="777777"/>
          <w:sz w:val="20"/>
          <w:szCs w:val="20"/>
        </w:rPr>
        <w:tab/>
      </w:r>
      <w:r>
        <w:rPr>
          <w:rFonts w:ascii="Arial" w:eastAsia="Arial" w:hAnsi="Arial" w:cs="Arial"/>
          <w:b w:val="0"/>
          <w:color w:val="777777"/>
          <w:sz w:val="20"/>
          <w:szCs w:val="20"/>
        </w:rPr>
        <w:tab/>
      </w:r>
      <w:r>
        <w:rPr>
          <w:rFonts w:ascii="Arial" w:eastAsia="Arial" w:hAnsi="Arial" w:cs="Arial"/>
          <w:b w:val="0"/>
          <w:color w:val="777777"/>
          <w:sz w:val="20"/>
          <w:szCs w:val="20"/>
        </w:rPr>
        <w:tab/>
      </w:r>
      <w:r>
        <w:rPr>
          <w:rFonts w:ascii="Arial" w:eastAsia="Arial" w:hAnsi="Arial" w:cs="Arial"/>
          <w:b w:val="0"/>
          <w:color w:val="777777"/>
          <w:sz w:val="20"/>
          <w:szCs w:val="20"/>
        </w:rPr>
        <w:tab/>
        <w:t>+ 2 9299 7602</w:t>
      </w:r>
    </w:p>
    <w:p w:rsidR="00E16C77" w:rsidRDefault="002F2DAE">
      <w:pPr>
        <w:pStyle w:val="normal0"/>
        <w:contextualSpacing w:val="0"/>
      </w:pPr>
      <w:hyperlink r:id="rId14">
        <w:r>
          <w:rPr>
            <w:rFonts w:ascii="Arial" w:eastAsia="Arial" w:hAnsi="Arial" w:cs="Arial"/>
            <w:color w:val="777777"/>
            <w:sz w:val="20"/>
            <w:szCs w:val="20"/>
            <w:u w:val="single"/>
          </w:rPr>
          <w:t>Michelle@finder.com.au</w:t>
        </w:r>
      </w:hyperlink>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hyperlink r:id="rId15">
        <w:r>
          <w:rPr>
            <w:rFonts w:ascii="Arial" w:eastAsia="Arial" w:hAnsi="Arial" w:cs="Arial"/>
            <w:color w:val="777777"/>
            <w:sz w:val="20"/>
            <w:szCs w:val="20"/>
            <w:u w:val="single"/>
          </w:rPr>
          <w:t>Bessie@finder.com.au</w:t>
        </w:r>
      </w:hyperlink>
    </w:p>
    <w:p w:rsidR="00E16C77" w:rsidRDefault="00E16C77">
      <w:pPr>
        <w:pStyle w:val="normal0"/>
        <w:spacing w:line="240" w:lineRule="auto"/>
        <w:ind w:left="0"/>
        <w:contextualSpacing w:val="0"/>
      </w:pPr>
    </w:p>
    <w:p w:rsidR="00E16C77" w:rsidRDefault="002F2DAE">
      <w:pPr>
        <w:pStyle w:val="normal0"/>
        <w:spacing w:line="240" w:lineRule="auto"/>
        <w:contextualSpacing w:val="0"/>
      </w:pPr>
      <w:r>
        <w:rPr>
          <w:rFonts w:ascii="Arial" w:eastAsia="Arial" w:hAnsi="Arial" w:cs="Arial"/>
          <w:b/>
          <w:color w:val="777777"/>
          <w:sz w:val="18"/>
          <w:szCs w:val="18"/>
        </w:rPr>
        <w:t>About finder.com.au:</w:t>
      </w:r>
    </w:p>
    <w:p w:rsidR="00E16C77" w:rsidRDefault="002F2DAE">
      <w:pPr>
        <w:pStyle w:val="normal0"/>
        <w:contextualSpacing w:val="0"/>
      </w:pPr>
      <w:hyperlink r:id="rId16">
        <w:proofErr w:type="gramStart"/>
        <w:r>
          <w:rPr>
            <w:rFonts w:ascii="Arial" w:eastAsia="Arial" w:hAnsi="Arial" w:cs="Arial"/>
            <w:i/>
            <w:color w:val="777777"/>
            <w:sz w:val="18"/>
            <w:szCs w:val="18"/>
            <w:u w:val="single"/>
          </w:rPr>
          <w:t>finder.com.au</w:t>
        </w:r>
        <w:proofErr w:type="gramEnd"/>
      </w:hyperlink>
      <w:r>
        <w:rPr>
          <w:rFonts w:ascii="Arial" w:eastAsia="Arial" w:hAnsi="Arial" w:cs="Arial"/>
          <w:i/>
          <w:color w:val="777777"/>
          <w:sz w:val="18"/>
          <w:szCs w:val="18"/>
        </w:rPr>
        <w:t xml:space="preserve"> is one of Australia’s biggest comparison websites and has helped over 4.8 million Australians find better credit cards, home loans, life insurance, shopping deals and more since 2006. </w:t>
      </w:r>
      <w:proofErr w:type="gramStart"/>
      <w:r>
        <w:rPr>
          <w:rFonts w:ascii="Arial" w:eastAsia="Arial" w:hAnsi="Arial" w:cs="Arial"/>
          <w:i/>
          <w:color w:val="777777"/>
          <w:sz w:val="18"/>
          <w:szCs w:val="18"/>
        </w:rPr>
        <w:t>finder.com.au</w:t>
      </w:r>
      <w:proofErr w:type="gramEnd"/>
      <w:r>
        <w:rPr>
          <w:rFonts w:ascii="Arial" w:eastAsia="Arial" w:hAnsi="Arial" w:cs="Arial"/>
          <w:i/>
          <w:color w:val="777777"/>
          <w:sz w:val="18"/>
          <w:szCs w:val="18"/>
        </w:rPr>
        <w:t xml:space="preserve"> compares 250 credit and debit cards from 31 providers, ov</w:t>
      </w:r>
      <w:r>
        <w:rPr>
          <w:rFonts w:ascii="Arial" w:eastAsia="Arial" w:hAnsi="Arial" w:cs="Arial"/>
          <w:i/>
          <w:color w:val="777777"/>
          <w:sz w:val="18"/>
          <w:szCs w:val="18"/>
        </w:rPr>
        <w:t>er 300 home loan products, and information from 13 life insurance providers as well as online shopping promo codes, mobile phone plans, travel insurance and more. One Australian every five minutes is using</w:t>
      </w:r>
      <w:hyperlink r:id="rId17">
        <w:r>
          <w:rPr>
            <w:rFonts w:ascii="Arial" w:eastAsia="Arial" w:hAnsi="Arial" w:cs="Arial"/>
            <w:i/>
            <w:color w:val="777777"/>
            <w:sz w:val="18"/>
            <w:szCs w:val="18"/>
            <w:u w:val="single"/>
          </w:rPr>
          <w:t xml:space="preserve"> finder.com.au</w:t>
        </w:r>
      </w:hyperlink>
      <w:r>
        <w:rPr>
          <w:rFonts w:ascii="Arial" w:eastAsia="Arial" w:hAnsi="Arial" w:cs="Arial"/>
          <w:i/>
          <w:color w:val="777777"/>
          <w:sz w:val="18"/>
          <w:szCs w:val="18"/>
        </w:rPr>
        <w:t xml:space="preserve"> or one of its network sites</w:t>
      </w:r>
      <w:hyperlink r:id="rId18">
        <w:r>
          <w:rPr>
            <w:rFonts w:ascii="Arial" w:eastAsia="Arial" w:hAnsi="Arial" w:cs="Arial"/>
            <w:i/>
            <w:color w:val="777777"/>
            <w:sz w:val="18"/>
            <w:szCs w:val="18"/>
          </w:rPr>
          <w:t xml:space="preserve"> </w:t>
        </w:r>
      </w:hyperlink>
      <w:hyperlink r:id="rId19">
        <w:r>
          <w:rPr>
            <w:rFonts w:ascii="Arial" w:eastAsia="Arial" w:hAnsi="Arial" w:cs="Arial"/>
            <w:i/>
            <w:color w:val="777777"/>
            <w:sz w:val="18"/>
            <w:szCs w:val="18"/>
            <w:u w:val="single"/>
          </w:rPr>
          <w:t>creditcardfinder.com.au</w:t>
        </w:r>
      </w:hyperlink>
      <w:r>
        <w:rPr>
          <w:rFonts w:ascii="Arial" w:eastAsia="Arial" w:hAnsi="Arial" w:cs="Arial"/>
          <w:i/>
          <w:color w:val="777777"/>
          <w:sz w:val="18"/>
          <w:szCs w:val="18"/>
        </w:rPr>
        <w:t xml:space="preserve"> and</w:t>
      </w:r>
      <w:hyperlink r:id="rId20">
        <w:r>
          <w:rPr>
            <w:rFonts w:ascii="Arial" w:eastAsia="Arial" w:hAnsi="Arial" w:cs="Arial"/>
            <w:i/>
            <w:color w:val="777777"/>
            <w:sz w:val="18"/>
            <w:szCs w:val="18"/>
          </w:rPr>
          <w:t xml:space="preserve"> </w:t>
        </w:r>
      </w:hyperlink>
      <w:hyperlink r:id="rId21">
        <w:r>
          <w:rPr>
            <w:rFonts w:ascii="Arial" w:eastAsia="Arial" w:hAnsi="Arial" w:cs="Arial"/>
            <w:i/>
            <w:color w:val="777777"/>
            <w:sz w:val="18"/>
            <w:szCs w:val="18"/>
            <w:u w:val="single"/>
          </w:rPr>
          <w:t>lifeinsurancefinder.com.au</w:t>
        </w:r>
      </w:hyperlink>
      <w:r>
        <w:rPr>
          <w:rFonts w:ascii="Arial" w:eastAsia="Arial" w:hAnsi="Arial" w:cs="Arial"/>
          <w:i/>
          <w:color w:val="777777"/>
          <w:sz w:val="18"/>
          <w:szCs w:val="18"/>
        </w:rPr>
        <w:t xml:space="preserve"> to find better (Source: Google Analytics). </w:t>
      </w:r>
    </w:p>
    <w:p w:rsidR="00E16C77" w:rsidRDefault="00E16C77">
      <w:pPr>
        <w:pStyle w:val="normal0"/>
        <w:contextualSpacing w:val="0"/>
      </w:pPr>
    </w:p>
    <w:p w:rsidR="00E16C77" w:rsidRDefault="002F2DAE">
      <w:pPr>
        <w:pStyle w:val="normal0"/>
        <w:ind w:left="0"/>
        <w:contextualSpacing w:val="0"/>
      </w:pPr>
      <w:r>
        <w:rPr>
          <w:rFonts w:ascii="Arial" w:eastAsia="Arial" w:hAnsi="Arial" w:cs="Arial"/>
          <w:b/>
          <w:color w:val="777777"/>
          <w:sz w:val="18"/>
          <w:szCs w:val="18"/>
        </w:rPr>
        <w:t>Disclaimer</w:t>
      </w:r>
      <w:r>
        <w:rPr>
          <w:rFonts w:ascii="Arial" w:eastAsia="Arial" w:hAnsi="Arial" w:cs="Arial"/>
          <w:color w:val="777777"/>
          <w:sz w:val="18"/>
          <w:szCs w:val="18"/>
        </w:rPr>
        <w:t>:</w:t>
      </w:r>
    </w:p>
    <w:p w:rsidR="00E16C77" w:rsidRDefault="002F2DAE">
      <w:pPr>
        <w:pStyle w:val="normal0"/>
        <w:ind w:left="0"/>
        <w:contextualSpacing w:val="0"/>
      </w:pPr>
      <w:r>
        <w:rPr>
          <w:rFonts w:ascii="Arial" w:eastAsia="Arial" w:hAnsi="Arial" w:cs="Arial"/>
          <w:i/>
          <w:color w:val="777777"/>
          <w:sz w:val="18"/>
          <w:szCs w:val="18"/>
        </w:rPr>
        <w:t>Hive Empire Pty Ltd (trading as finder.com.au, ABN: 18 118 785 121) provides factual information, general advice and services on fi</w:t>
      </w:r>
      <w:r>
        <w:rPr>
          <w:rFonts w:ascii="Arial" w:eastAsia="Arial" w:hAnsi="Arial" w:cs="Arial"/>
          <w:i/>
          <w:color w:val="777777"/>
          <w:sz w:val="18"/>
          <w:szCs w:val="18"/>
        </w:rPr>
        <w:t xml:space="preserve">nancial products as a Corporate Authorised Representative (432664) of Advice Evolution Pty Ltd AFSL 342880. Please refer to our </w:t>
      </w:r>
      <w:hyperlink r:id="rId22">
        <w:r>
          <w:rPr>
            <w:rFonts w:ascii="Arial" w:eastAsia="Arial" w:hAnsi="Arial" w:cs="Arial"/>
            <w:i/>
            <w:color w:val="777777"/>
            <w:sz w:val="18"/>
            <w:szCs w:val="18"/>
            <w:u w:val="single"/>
          </w:rPr>
          <w:t>FSG</w:t>
        </w:r>
      </w:hyperlink>
      <w:r>
        <w:rPr>
          <w:rFonts w:ascii="Arial" w:eastAsia="Arial" w:hAnsi="Arial" w:cs="Arial"/>
          <w:i/>
          <w:color w:val="777777"/>
          <w:sz w:val="18"/>
          <w:szCs w:val="18"/>
        </w:rPr>
        <w:t xml:space="preserve"> and Credit Licence ACL 385509.  We</w:t>
      </w:r>
      <w:r>
        <w:rPr>
          <w:rFonts w:ascii="Arial" w:eastAsia="Arial" w:hAnsi="Arial" w:cs="Arial"/>
          <w:i/>
          <w:color w:val="777777"/>
          <w:sz w:val="18"/>
          <w:szCs w:val="18"/>
        </w:rPr>
        <w:t xml:space="preserve"> are also a Corporate Authorised Representative of Countrywide </w:t>
      </w:r>
      <w:proofErr w:type="spellStart"/>
      <w:r>
        <w:rPr>
          <w:rFonts w:ascii="Arial" w:eastAsia="Arial" w:hAnsi="Arial" w:cs="Arial"/>
          <w:i/>
          <w:color w:val="777777"/>
          <w:sz w:val="18"/>
          <w:szCs w:val="18"/>
        </w:rPr>
        <w:t>Tolstrup</w:t>
      </w:r>
      <w:proofErr w:type="spellEnd"/>
      <w:r>
        <w:rPr>
          <w:rFonts w:ascii="Arial" w:eastAsia="Arial" w:hAnsi="Arial" w:cs="Arial"/>
          <w:i/>
          <w:color w:val="777777"/>
          <w:sz w:val="18"/>
          <w:szCs w:val="18"/>
        </w:rPr>
        <w:t xml:space="preserve"> Financial Services Group Pty Ltd. ABN 51 586 953 292 AFSL 244436 for the provision of online travel insurance. </w:t>
      </w:r>
      <w:proofErr w:type="gramStart"/>
      <w:r>
        <w:rPr>
          <w:rFonts w:ascii="Arial" w:eastAsia="Arial" w:hAnsi="Arial" w:cs="Arial"/>
          <w:i/>
          <w:color w:val="777777"/>
          <w:sz w:val="18"/>
          <w:szCs w:val="18"/>
        </w:rPr>
        <w:t>We are not owned by any Bank</w:t>
      </w:r>
      <w:proofErr w:type="gramEnd"/>
      <w:r>
        <w:rPr>
          <w:rFonts w:ascii="Arial" w:eastAsia="Arial" w:hAnsi="Arial" w:cs="Arial"/>
          <w:i/>
          <w:color w:val="777777"/>
          <w:sz w:val="18"/>
          <w:szCs w:val="18"/>
        </w:rPr>
        <w:t xml:space="preserve"> or Insurer and we are not a product issuer o</w:t>
      </w:r>
      <w:r>
        <w:rPr>
          <w:rFonts w:ascii="Arial" w:eastAsia="Arial" w:hAnsi="Arial" w:cs="Arial"/>
          <w:i/>
          <w:color w:val="777777"/>
          <w:sz w:val="18"/>
          <w:szCs w:val="18"/>
        </w:rPr>
        <w:t xml:space="preserve">r a credit provider. Although we cover a wide range of products, providers and services we don't cover every product, provider or service available in the market. We also don't recommend specific products, services or providers. If you decide to apply for </w:t>
      </w:r>
      <w:r>
        <w:rPr>
          <w:rFonts w:ascii="Arial" w:eastAsia="Arial" w:hAnsi="Arial" w:cs="Arial"/>
          <w:i/>
          <w:color w:val="777777"/>
          <w:sz w:val="18"/>
          <w:szCs w:val="18"/>
        </w:rPr>
        <w:t>a product or service through our website you will be dealing directly with the provider of that product or service and not with us. We recommend consumers understand the Product Disclosure Statements before deciding if a product is right for them (c) 2015.</w:t>
      </w:r>
    </w:p>
    <w:sectPr w:rsidR="00E16C77">
      <w:headerReference w:type="default" r:id="rId23"/>
      <w:pgSz w:w="12240" w:h="15840"/>
      <w:pgMar w:top="720" w:right="1184" w:bottom="907" w:left="1139"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2DAE">
      <w:pPr>
        <w:spacing w:line="240" w:lineRule="auto"/>
      </w:pPr>
      <w:r>
        <w:separator/>
      </w:r>
    </w:p>
  </w:endnote>
  <w:endnote w:type="continuationSeparator" w:id="0">
    <w:p w:rsidR="00000000" w:rsidRDefault="002F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Syncopate">
    <w:charset w:val="00"/>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2DAE">
      <w:pPr>
        <w:spacing w:line="240" w:lineRule="auto"/>
      </w:pPr>
      <w:r>
        <w:separator/>
      </w:r>
    </w:p>
  </w:footnote>
  <w:footnote w:type="continuationSeparator" w:id="0">
    <w:p w:rsidR="00000000" w:rsidRDefault="002F2DAE">
      <w:pPr>
        <w:spacing w:line="240" w:lineRule="auto"/>
      </w:pPr>
      <w:r>
        <w:continuationSeparator/>
      </w:r>
    </w:p>
  </w:footnote>
  <w:footnote w:id="1">
    <w:p w:rsidR="00E16C77" w:rsidRDefault="002F2DAE">
      <w:pPr>
        <w:pStyle w:val="normal0"/>
        <w:spacing w:line="240" w:lineRule="auto"/>
        <w:contextualSpacing w:val="0"/>
      </w:pPr>
      <w:r>
        <w:rPr>
          <w:vertAlign w:val="superscript"/>
        </w:rPr>
        <w:footnoteRef/>
      </w:r>
      <w:r>
        <w:rPr>
          <w:rFonts w:ascii="Arial" w:eastAsia="Arial" w:hAnsi="Arial" w:cs="Arial"/>
          <w:sz w:val="20"/>
          <w:szCs w:val="20"/>
        </w:rPr>
        <w:t xml:space="preserve"> Experian </w:t>
      </w:r>
      <w:proofErr w:type="spellStart"/>
      <w:r>
        <w:rPr>
          <w:rFonts w:ascii="Arial" w:eastAsia="Arial" w:hAnsi="Arial" w:cs="Arial"/>
          <w:sz w:val="20"/>
          <w:szCs w:val="20"/>
        </w:rPr>
        <w:t>Hitwise</w:t>
      </w:r>
      <w:proofErr w:type="spellEnd"/>
      <w:r>
        <w:rPr>
          <w:rFonts w:ascii="Arial" w:eastAsia="Arial" w:hAnsi="Arial" w:cs="Arial"/>
          <w:sz w:val="20"/>
          <w:szCs w:val="20"/>
        </w:rPr>
        <w:t xml:space="preserve"> since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77" w:rsidRDefault="00E16C77">
    <w:pPr>
      <w:pStyle w:val="normal0"/>
      <w:contextualSpacing w:val="0"/>
      <w:jc w:val="right"/>
    </w:pPr>
  </w:p>
  <w:p w:rsidR="00E16C77" w:rsidRDefault="00E16C77">
    <w:pPr>
      <w:pStyle w:val="normal0"/>
      <w:contextualSpacing w:val="0"/>
      <w:jc w:val="right"/>
    </w:pPr>
  </w:p>
  <w:p w:rsidR="00E16C77" w:rsidRDefault="002F2DAE">
    <w:pPr>
      <w:pStyle w:val="normal0"/>
      <w:contextualSpacing w:val="0"/>
      <w:jc w:val="right"/>
    </w:pPr>
    <w:r>
      <w:rPr>
        <w:noProof/>
        <w:lang w:val="en-US"/>
      </w:rPr>
      <w:drawing>
        <wp:inline distT="19050" distB="19050" distL="19050" distR="19050">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441EC"/>
    <w:multiLevelType w:val="multilevel"/>
    <w:tmpl w:val="5524B1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6C77"/>
    <w:rsid w:val="002F2DAE"/>
    <w:rsid w:val="004B5C26"/>
    <w:rsid w:val="00635576"/>
    <w:rsid w:val="00E16C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color w:val="999999"/>
        <w:sz w:val="24"/>
        <w:szCs w:val="24"/>
        <w:lang w:val="en-AU" w:eastAsia="en-US" w:bidi="ar-SA"/>
      </w:rPr>
    </w:rPrDefault>
    <w:pPrDefault>
      <w:pPr>
        <w:widowControl w:val="0"/>
        <w:spacing w:line="276" w:lineRule="auto"/>
        <w:ind w:left="2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i/>
      <w:sz w:val="28"/>
      <w:szCs w:val="28"/>
    </w:rPr>
  </w:style>
  <w:style w:type="paragraph" w:styleId="Heading2">
    <w:name w:val="heading 2"/>
    <w:basedOn w:val="normal0"/>
    <w:next w:val="normal0"/>
    <w:pPr>
      <w:spacing w:line="240" w:lineRule="auto"/>
      <w:outlineLvl w:val="1"/>
    </w:pPr>
    <w:rPr>
      <w:b/>
      <w:sz w:val="20"/>
      <w:szCs w:val="20"/>
    </w:rPr>
  </w:style>
  <w:style w:type="paragraph" w:styleId="Heading3">
    <w:name w:val="heading 3"/>
    <w:basedOn w:val="normal0"/>
    <w:next w:val="normal0"/>
    <w:pPr>
      <w:outlineLvl w:val="2"/>
    </w:pPr>
    <w:rPr>
      <w:b/>
      <w:color w:val="FFFFFF"/>
      <w:shd w:val="clear" w:color="auto" w:fill="B8523F"/>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szCs w:val="22"/>
    </w:rPr>
  </w:style>
  <w:style w:type="paragraph" w:styleId="Heading6">
    <w:name w:val="heading 6"/>
    <w:basedOn w:val="normal0"/>
    <w:next w:val="normal0"/>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360" w:lineRule="auto"/>
      <w:jc w:val="right"/>
    </w:pPr>
    <w:rPr>
      <w:rFonts w:ascii="Syncopate" w:eastAsia="Syncopate" w:hAnsi="Syncopate" w:cs="Syncopate"/>
      <w:b/>
      <w:color w:val="B8523F"/>
      <w:sz w:val="28"/>
      <w:szCs w:val="28"/>
    </w:rPr>
  </w:style>
  <w:style w:type="paragraph" w:styleId="Subtitle">
    <w:name w:val="Subtitle"/>
    <w:basedOn w:val="normal0"/>
    <w:next w:val="normal0"/>
    <w:rPr>
      <w:b/>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3557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5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color w:val="999999"/>
        <w:sz w:val="24"/>
        <w:szCs w:val="24"/>
        <w:lang w:val="en-AU" w:eastAsia="en-US" w:bidi="ar-SA"/>
      </w:rPr>
    </w:rPrDefault>
    <w:pPrDefault>
      <w:pPr>
        <w:widowControl w:val="0"/>
        <w:spacing w:line="276" w:lineRule="auto"/>
        <w:ind w:left="2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i/>
      <w:sz w:val="28"/>
      <w:szCs w:val="28"/>
    </w:rPr>
  </w:style>
  <w:style w:type="paragraph" w:styleId="Heading2">
    <w:name w:val="heading 2"/>
    <w:basedOn w:val="normal0"/>
    <w:next w:val="normal0"/>
    <w:pPr>
      <w:spacing w:line="240" w:lineRule="auto"/>
      <w:outlineLvl w:val="1"/>
    </w:pPr>
    <w:rPr>
      <w:b/>
      <w:sz w:val="20"/>
      <w:szCs w:val="20"/>
    </w:rPr>
  </w:style>
  <w:style w:type="paragraph" w:styleId="Heading3">
    <w:name w:val="heading 3"/>
    <w:basedOn w:val="normal0"/>
    <w:next w:val="normal0"/>
    <w:pPr>
      <w:outlineLvl w:val="2"/>
    </w:pPr>
    <w:rPr>
      <w:b/>
      <w:color w:val="FFFFFF"/>
      <w:shd w:val="clear" w:color="auto" w:fill="B8523F"/>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szCs w:val="22"/>
    </w:rPr>
  </w:style>
  <w:style w:type="paragraph" w:styleId="Heading6">
    <w:name w:val="heading 6"/>
    <w:basedOn w:val="normal0"/>
    <w:next w:val="normal0"/>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360" w:lineRule="auto"/>
      <w:jc w:val="right"/>
    </w:pPr>
    <w:rPr>
      <w:rFonts w:ascii="Syncopate" w:eastAsia="Syncopate" w:hAnsi="Syncopate" w:cs="Syncopate"/>
      <w:b/>
      <w:color w:val="B8523F"/>
      <w:sz w:val="28"/>
      <w:szCs w:val="28"/>
    </w:rPr>
  </w:style>
  <w:style w:type="paragraph" w:styleId="Subtitle">
    <w:name w:val="Subtitle"/>
    <w:basedOn w:val="normal0"/>
    <w:next w:val="normal0"/>
    <w:rPr>
      <w:b/>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3557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5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inder.com.au/" TargetMode="External"/><Relationship Id="rId20" Type="http://schemas.openxmlformats.org/officeDocument/2006/relationships/hyperlink" Target="http://www.lifeinsurancefinder.com.au/" TargetMode="External"/><Relationship Id="rId21" Type="http://schemas.openxmlformats.org/officeDocument/2006/relationships/hyperlink" Target="http://www.lifeinsurancefinder.com.au/" TargetMode="External"/><Relationship Id="rId22" Type="http://schemas.openxmlformats.org/officeDocument/2006/relationships/hyperlink" Target="http://www.finder.com.au/resources/Finder-Financial-Services-Guide.pdf"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finder.com.au/" TargetMode="External"/><Relationship Id="rId11" Type="http://schemas.openxmlformats.org/officeDocument/2006/relationships/image" Target="media/image1.png"/><Relationship Id="rId12" Type="http://schemas.openxmlformats.org/officeDocument/2006/relationships/hyperlink" Target="http://www.finder.com.au/" TargetMode="External"/><Relationship Id="rId13" Type="http://schemas.openxmlformats.org/officeDocument/2006/relationships/hyperlink" Target="http://www.finder.com.au/" TargetMode="External"/><Relationship Id="rId14" Type="http://schemas.openxmlformats.org/officeDocument/2006/relationships/hyperlink" Target="mailto:Michelle@finder.com.au" TargetMode="External"/><Relationship Id="rId15" Type="http://schemas.openxmlformats.org/officeDocument/2006/relationships/hyperlink" Target="mailto:Bessie.Hassan@finder.com.au" TargetMode="External"/><Relationship Id="rId16" Type="http://schemas.openxmlformats.org/officeDocument/2006/relationships/hyperlink" Target="http://www.finder.com.au/" TargetMode="External"/><Relationship Id="rId17" Type="http://schemas.openxmlformats.org/officeDocument/2006/relationships/hyperlink" Target="http://www.finder.com.au" TargetMode="External"/><Relationship Id="rId18" Type="http://schemas.openxmlformats.org/officeDocument/2006/relationships/hyperlink" Target="http://www.creditcardfinder.com.au/" TargetMode="External"/><Relationship Id="rId19" Type="http://schemas.openxmlformats.org/officeDocument/2006/relationships/hyperlink" Target="http://www.creditcard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nd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7059</Characters>
  <Application>Microsoft Macintosh Word</Application>
  <DocSecurity>0</DocSecurity>
  <Lines>58</Lines>
  <Paragraphs>16</Paragraphs>
  <ScaleCrop>false</ScaleCrop>
  <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Bessie</cp:lastModifiedBy>
  <cp:revision>2</cp:revision>
  <dcterms:created xsi:type="dcterms:W3CDTF">2015-07-15T00:21:00Z</dcterms:created>
  <dcterms:modified xsi:type="dcterms:W3CDTF">2015-07-15T00:21:00Z</dcterms:modified>
</cp:coreProperties>
</file>